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EDE31" w14:textId="692B9A9C" w:rsidR="003334BE" w:rsidRDefault="003334BE" w:rsidP="00512BFC">
      <w:pPr>
        <w:jc w:val="center"/>
        <w:rPr>
          <w:rFonts w:eastAsia="SimSun"/>
          <w:bCs/>
        </w:rPr>
      </w:pPr>
      <w:bookmarkStart w:id="0" w:name="_Hlk1322021"/>
      <w:r>
        <w:rPr>
          <w:rFonts w:eastAsia="SimSun"/>
          <w:bCs/>
        </w:rPr>
        <w:t>[</w:t>
      </w:r>
      <w:r>
        <w:rPr>
          <w:rFonts w:eastAsia="SimSun"/>
          <w:bCs/>
          <w:i/>
          <w:iCs/>
        </w:rPr>
        <w:t>Accepted Version</w:t>
      </w:r>
      <w:r>
        <w:rPr>
          <w:rFonts w:eastAsia="SimSun"/>
          <w:bCs/>
        </w:rPr>
        <w:t>]</w:t>
      </w:r>
    </w:p>
    <w:p w14:paraId="48D735E0" w14:textId="26D96327" w:rsidR="003334BE" w:rsidRDefault="003334BE" w:rsidP="00512BFC">
      <w:pPr>
        <w:jc w:val="center"/>
        <w:rPr>
          <w:rFonts w:eastAsia="SimSun"/>
          <w:bCs/>
        </w:rPr>
      </w:pPr>
    </w:p>
    <w:p w14:paraId="7CBD8770" w14:textId="77777777" w:rsidR="003334BE" w:rsidRPr="00EC691A" w:rsidRDefault="003334BE" w:rsidP="00512BFC">
      <w:pPr>
        <w:jc w:val="center"/>
        <w:rPr>
          <w:rFonts w:eastAsia="SimSun"/>
          <w:bCs/>
          <w:sz w:val="12"/>
          <w:szCs w:val="12"/>
        </w:rPr>
      </w:pPr>
    </w:p>
    <w:p w14:paraId="7FC1EB0F" w14:textId="77777777" w:rsidR="003334BE" w:rsidRPr="003334BE" w:rsidRDefault="003334BE" w:rsidP="00512BFC">
      <w:pPr>
        <w:jc w:val="center"/>
        <w:rPr>
          <w:rFonts w:eastAsia="SimSun"/>
          <w:bCs/>
        </w:rPr>
      </w:pPr>
    </w:p>
    <w:p w14:paraId="6672700C" w14:textId="4D639B82" w:rsidR="00512BFC" w:rsidRDefault="00512BFC" w:rsidP="00512BFC">
      <w:pPr>
        <w:jc w:val="center"/>
        <w:rPr>
          <w:rFonts w:eastAsia="SimSun"/>
          <w:b/>
        </w:rPr>
      </w:pPr>
      <w:r w:rsidRPr="00787B2B">
        <w:rPr>
          <w:rFonts w:eastAsia="SimSun"/>
          <w:b/>
        </w:rPr>
        <w:t>Personnel Power: Governing State-Owned Enterprises</w:t>
      </w:r>
    </w:p>
    <w:p w14:paraId="01519AC7" w14:textId="32AB81E3" w:rsidR="003334BE" w:rsidRPr="00EC691A" w:rsidRDefault="003334BE" w:rsidP="00EC691A">
      <w:pPr>
        <w:rPr>
          <w:rFonts w:eastAsia="SimSun"/>
          <w:b/>
          <w:sz w:val="8"/>
          <w:szCs w:val="8"/>
        </w:rPr>
      </w:pPr>
    </w:p>
    <w:p w14:paraId="78A2A0C7" w14:textId="11FEEA4B" w:rsidR="003334BE" w:rsidRDefault="003334BE" w:rsidP="00512BFC">
      <w:pPr>
        <w:jc w:val="center"/>
        <w:rPr>
          <w:rFonts w:eastAsia="SimSun"/>
          <w:b/>
        </w:rPr>
      </w:pPr>
    </w:p>
    <w:p w14:paraId="7B6F0201" w14:textId="2183D76A" w:rsidR="003334BE" w:rsidRPr="003334BE" w:rsidRDefault="003334BE" w:rsidP="00512BFC">
      <w:pPr>
        <w:jc w:val="center"/>
        <w:rPr>
          <w:rFonts w:eastAsia="SimSun"/>
          <w:bCs/>
          <w:i/>
          <w:iCs/>
        </w:rPr>
      </w:pPr>
      <w:r w:rsidRPr="003334BE">
        <w:rPr>
          <w:rFonts w:eastAsia="SimSun"/>
          <w:bCs/>
        </w:rPr>
        <w:t>Forthcoming in</w:t>
      </w:r>
      <w:r>
        <w:rPr>
          <w:rFonts w:eastAsia="SimSun"/>
          <w:bCs/>
          <w:i/>
          <w:iCs/>
        </w:rPr>
        <w:t xml:space="preserve"> Business and Politics </w:t>
      </w:r>
    </w:p>
    <w:p w14:paraId="4F416ACE" w14:textId="77777777" w:rsidR="00512BFC" w:rsidRPr="00787B2B" w:rsidRDefault="00512BFC" w:rsidP="00512BFC">
      <w:pPr>
        <w:jc w:val="center"/>
        <w:rPr>
          <w:rFonts w:eastAsia="SimSun"/>
          <w:b/>
        </w:rPr>
      </w:pPr>
    </w:p>
    <w:bookmarkEnd w:id="0"/>
    <w:p w14:paraId="1BAB30A3" w14:textId="5E5DE5F3" w:rsidR="00512BFC" w:rsidRDefault="00512BFC" w:rsidP="00512BFC">
      <w:pPr>
        <w:jc w:val="both"/>
        <w:rPr>
          <w:rFonts w:eastAsia="SimSun"/>
        </w:rPr>
      </w:pPr>
    </w:p>
    <w:p w14:paraId="6C0F6D1A" w14:textId="77777777" w:rsidR="003334BE" w:rsidRDefault="003334BE" w:rsidP="00512BFC">
      <w:pPr>
        <w:jc w:val="both"/>
        <w:rPr>
          <w:rFonts w:eastAsia="SimSun"/>
        </w:rPr>
      </w:pPr>
    </w:p>
    <w:p w14:paraId="02983BDE" w14:textId="6920DC5C" w:rsidR="003334BE" w:rsidRDefault="00512BFC" w:rsidP="00512BFC">
      <w:pPr>
        <w:jc w:val="center"/>
        <w:rPr>
          <w:rFonts w:eastAsia="SimSun"/>
        </w:rPr>
      </w:pPr>
      <w:r>
        <w:rPr>
          <w:rFonts w:eastAsia="SimSun"/>
        </w:rPr>
        <w:t>Wendy Leutert</w:t>
      </w:r>
      <w:r w:rsidR="003334BE">
        <w:rPr>
          <w:rFonts w:eastAsia="SimSun"/>
        </w:rPr>
        <w:br/>
        <w:t>Indiana University</w:t>
      </w:r>
      <w:r w:rsidR="003334BE">
        <w:rPr>
          <w:rFonts w:eastAsia="SimSun"/>
        </w:rPr>
        <w:br/>
      </w:r>
      <w:hyperlink r:id="rId8" w:history="1">
        <w:r w:rsidR="003334BE" w:rsidRPr="00D578DA">
          <w:rPr>
            <w:rStyle w:val="Hyperlink"/>
            <w:rFonts w:eastAsia="SimSun"/>
          </w:rPr>
          <w:t>wleutert@iu.edu</w:t>
        </w:r>
      </w:hyperlink>
    </w:p>
    <w:p w14:paraId="42B5008B" w14:textId="74153C0E" w:rsidR="00512BFC" w:rsidRDefault="00512BFC" w:rsidP="003334BE">
      <w:pPr>
        <w:jc w:val="center"/>
        <w:rPr>
          <w:rFonts w:eastAsia="SimSun"/>
        </w:rPr>
      </w:pPr>
      <w:r>
        <w:rPr>
          <w:rFonts w:eastAsia="SimSun"/>
        </w:rPr>
        <w:t xml:space="preserve"> </w:t>
      </w:r>
      <w:r w:rsidR="003334BE">
        <w:rPr>
          <w:rFonts w:eastAsia="SimSun"/>
        </w:rPr>
        <w:br/>
      </w:r>
      <w:r w:rsidR="003334BE">
        <w:rPr>
          <w:rFonts w:eastAsia="SimSun"/>
        </w:rPr>
        <w:br/>
      </w:r>
      <w:r>
        <w:rPr>
          <w:rFonts w:eastAsia="SimSun"/>
        </w:rPr>
        <w:t xml:space="preserve">Samantha A. </w:t>
      </w:r>
      <w:proofErr w:type="spellStart"/>
      <w:r>
        <w:rPr>
          <w:rFonts w:eastAsia="SimSun"/>
        </w:rPr>
        <w:t>Vortherms</w:t>
      </w:r>
      <w:proofErr w:type="spellEnd"/>
    </w:p>
    <w:p w14:paraId="6DADDA7F" w14:textId="24A48850" w:rsidR="003334BE" w:rsidRDefault="003334BE" w:rsidP="003334BE">
      <w:pPr>
        <w:jc w:val="center"/>
        <w:rPr>
          <w:rFonts w:eastAsia="SimSun"/>
        </w:rPr>
      </w:pPr>
      <w:r>
        <w:rPr>
          <w:rFonts w:eastAsia="SimSun"/>
        </w:rPr>
        <w:t>University of California, Irvine</w:t>
      </w:r>
    </w:p>
    <w:p w14:paraId="570E1863" w14:textId="7A746544" w:rsidR="003334BE" w:rsidRDefault="00D20422" w:rsidP="003334BE">
      <w:pPr>
        <w:jc w:val="center"/>
        <w:rPr>
          <w:rFonts w:eastAsia="SimSun"/>
        </w:rPr>
      </w:pPr>
      <w:hyperlink r:id="rId9" w:history="1">
        <w:r w:rsidR="003334BE" w:rsidRPr="00D578DA">
          <w:rPr>
            <w:rStyle w:val="Hyperlink"/>
            <w:rFonts w:eastAsia="SimSun"/>
          </w:rPr>
          <w:t>s.vortherms@uci.edu</w:t>
        </w:r>
      </w:hyperlink>
    </w:p>
    <w:p w14:paraId="1765AEE1" w14:textId="77777777" w:rsidR="003334BE" w:rsidRDefault="003334BE" w:rsidP="003334BE">
      <w:pPr>
        <w:jc w:val="center"/>
        <w:rPr>
          <w:rFonts w:eastAsia="SimSun"/>
        </w:rPr>
      </w:pPr>
    </w:p>
    <w:p w14:paraId="76DF1E15" w14:textId="0E01BD57" w:rsidR="00512BFC" w:rsidRDefault="00512BFC" w:rsidP="00512BFC">
      <w:pPr>
        <w:jc w:val="both"/>
        <w:rPr>
          <w:rFonts w:eastAsia="SimSun"/>
        </w:rPr>
      </w:pPr>
    </w:p>
    <w:p w14:paraId="5F3266C3" w14:textId="77777777" w:rsidR="003334BE" w:rsidRPr="00787B2B" w:rsidRDefault="003334BE" w:rsidP="00512BFC">
      <w:pPr>
        <w:jc w:val="both"/>
        <w:rPr>
          <w:rFonts w:eastAsia="SimSun"/>
        </w:rPr>
      </w:pPr>
    </w:p>
    <w:p w14:paraId="1175A1DA" w14:textId="77777777" w:rsidR="00512BFC" w:rsidRPr="00787B2B" w:rsidRDefault="00512BFC" w:rsidP="00512BFC">
      <w:pPr>
        <w:jc w:val="both"/>
        <w:rPr>
          <w:rFonts w:eastAsia="SimSun"/>
        </w:rPr>
      </w:pPr>
    </w:p>
    <w:p w14:paraId="68CEEA5B" w14:textId="77777777" w:rsidR="00512BFC" w:rsidRPr="00787B2B" w:rsidRDefault="00512BFC" w:rsidP="00512BFC">
      <w:pPr>
        <w:rPr>
          <w:rFonts w:eastAsia="SimSun"/>
          <w:b/>
        </w:rPr>
      </w:pPr>
      <w:r w:rsidRPr="00787B2B">
        <w:rPr>
          <w:rFonts w:eastAsia="SimSun"/>
          <w:b/>
        </w:rPr>
        <w:t>Abstract</w:t>
      </w:r>
    </w:p>
    <w:p w14:paraId="65018DCE" w14:textId="77777777" w:rsidR="00512BFC" w:rsidRPr="00787B2B" w:rsidRDefault="00512BFC" w:rsidP="00512BFC">
      <w:r w:rsidRPr="00787B2B">
        <w:rPr>
          <w:color w:val="222222"/>
          <w:shd w:val="clear" w:color="auto" w:fill="FFFFFF"/>
        </w:rPr>
        <w:t xml:space="preserve">State-owned enterprises (SOEs) retain a strong presence in many economies around the world. How do </w:t>
      </w:r>
      <w:r w:rsidRPr="00794FEA">
        <w:rPr>
          <w:color w:val="222222"/>
          <w:shd w:val="clear" w:color="auto" w:fill="FFFFFF"/>
        </w:rPr>
        <w:t>governments manage these firms given their dual economic and political nature? Many states use</w:t>
      </w:r>
      <w:r w:rsidRPr="00794FEA">
        <w:rPr>
          <w:rFonts w:eastAsia="SimSun"/>
        </w:rPr>
        <w:t xml:space="preserve"> authority over executive appointments as a key means of governing SOEs</w:t>
      </w:r>
      <w:r w:rsidRPr="00794FEA">
        <w:rPr>
          <w:color w:val="222222"/>
          <w:shd w:val="clear" w:color="auto" w:fill="FFFFFF"/>
        </w:rPr>
        <w:t xml:space="preserve">. We analyze the nature of this “personnel power” by assessing patterns in SOE leaders’ political mobility in China, the country with the largest state-owned sector. Using logit and multinomial models on an original dataset of central SOE leaders’ attributes and company information from 2003 to 2017, we measure the effects of economic performance and political connectedness on leaders’ likelihood of staying in power. We find that leaders of well-performing firms and those with patronage ties to elites in </w:t>
      </w:r>
      <w:r w:rsidRPr="00787B2B">
        <w:rPr>
          <w:color w:val="222222"/>
          <w:shd w:val="clear" w:color="auto" w:fill="FFFFFF"/>
        </w:rPr>
        <w:t xml:space="preserve">charge of their evaluation are more likely to stay in office. These findings suggest that </w:t>
      </w:r>
      <w:r w:rsidRPr="00787B2B">
        <w:t xml:space="preserve">states </w:t>
      </w:r>
      <w:r>
        <w:t xml:space="preserve">can </w:t>
      </w:r>
      <w:r w:rsidRPr="00787B2B">
        <w:t xml:space="preserve">leverage personnel power </w:t>
      </w:r>
      <w:r>
        <w:t>in pursuit of</w:t>
      </w:r>
      <w:r w:rsidRPr="00787B2B">
        <w:t xml:space="preserve"> economic and political stability when SOE management is highly politically integrated.</w:t>
      </w:r>
    </w:p>
    <w:p w14:paraId="07AA157F" w14:textId="77777777" w:rsidR="00512BFC" w:rsidRPr="00787B2B" w:rsidRDefault="00512BFC" w:rsidP="00512BFC">
      <w:pPr>
        <w:jc w:val="both"/>
        <w:rPr>
          <w:color w:val="222222"/>
          <w:shd w:val="clear" w:color="auto" w:fill="FFFFFF"/>
        </w:rPr>
      </w:pPr>
    </w:p>
    <w:p w14:paraId="23074DB4" w14:textId="77777777" w:rsidR="00512BFC" w:rsidRPr="00787B2B" w:rsidRDefault="00512BFC" w:rsidP="00512BFC">
      <w:pPr>
        <w:jc w:val="both"/>
        <w:rPr>
          <w:color w:val="222222"/>
          <w:shd w:val="clear" w:color="auto" w:fill="FFFFFF"/>
        </w:rPr>
      </w:pPr>
    </w:p>
    <w:p w14:paraId="6A3CBE71" w14:textId="77777777" w:rsidR="00512BFC" w:rsidRPr="00787B2B" w:rsidRDefault="00512BFC" w:rsidP="00512BFC">
      <w:pPr>
        <w:rPr>
          <w:rFonts w:eastAsia="SimSun"/>
          <w:b/>
        </w:rPr>
      </w:pPr>
      <w:r w:rsidRPr="00787B2B">
        <w:rPr>
          <w:rFonts w:eastAsia="SimSun"/>
          <w:b/>
        </w:rPr>
        <w:t>Keywords</w:t>
      </w:r>
    </w:p>
    <w:p w14:paraId="3762DCE7" w14:textId="77777777" w:rsidR="00512BFC" w:rsidRPr="00787B2B" w:rsidRDefault="00512BFC" w:rsidP="00512BFC">
      <w:pPr>
        <w:rPr>
          <w:rFonts w:eastAsia="SimSun"/>
        </w:rPr>
      </w:pPr>
      <w:r>
        <w:rPr>
          <w:rFonts w:eastAsia="SimSun"/>
        </w:rPr>
        <w:t>s</w:t>
      </w:r>
      <w:r w:rsidRPr="00787B2B">
        <w:rPr>
          <w:rFonts w:eastAsia="SimSun"/>
        </w:rPr>
        <w:t>tate-owned enterprises, state-business relations, China, political mobility</w:t>
      </w:r>
    </w:p>
    <w:p w14:paraId="66C15A50" w14:textId="4C18D4A9" w:rsidR="00512BFC" w:rsidRDefault="00512BFC" w:rsidP="00512BFC"/>
    <w:p w14:paraId="6FA34024" w14:textId="64E0A2BB" w:rsidR="00EC691A" w:rsidRDefault="00EC691A" w:rsidP="00512BFC"/>
    <w:p w14:paraId="682C7900" w14:textId="77777777" w:rsidR="00EC691A" w:rsidRPr="00295DBE" w:rsidRDefault="00EC691A" w:rsidP="00512BFC"/>
    <w:p w14:paraId="4876C84D" w14:textId="30612F84" w:rsidR="003334BE" w:rsidRPr="00EC691A" w:rsidRDefault="00EC691A" w:rsidP="00512BFC">
      <w:pPr>
        <w:rPr>
          <w:b/>
        </w:rPr>
      </w:pPr>
      <w:r w:rsidRPr="00EC691A">
        <w:rPr>
          <w:b/>
        </w:rPr>
        <w:t>Citation</w:t>
      </w:r>
      <w:r>
        <w:rPr>
          <w:b/>
        </w:rPr>
        <w:br/>
      </w:r>
      <w:r w:rsidRPr="00EC691A">
        <w:rPr>
          <w:bCs/>
        </w:rPr>
        <w:t xml:space="preserve">Leutert, W., &amp; </w:t>
      </w:r>
      <w:proofErr w:type="spellStart"/>
      <w:r w:rsidRPr="00EC691A">
        <w:rPr>
          <w:bCs/>
        </w:rPr>
        <w:t>Vortherms</w:t>
      </w:r>
      <w:proofErr w:type="spellEnd"/>
      <w:r w:rsidRPr="00EC691A">
        <w:rPr>
          <w:bCs/>
        </w:rPr>
        <w:t>, S. (2021). Personnel Power: Governing State-Owned Enterprises. Business and Politics, 1-19. doi:10.1017/bap.2021.5</w:t>
      </w:r>
      <w:r>
        <w:rPr>
          <w:bCs/>
        </w:rPr>
        <w:t>.</w:t>
      </w:r>
    </w:p>
    <w:p w14:paraId="7D201A73" w14:textId="77777777" w:rsidR="008E0CD3" w:rsidRPr="00295DBE" w:rsidRDefault="008E0CD3" w:rsidP="008E0CD3">
      <w:pPr>
        <w:rPr>
          <w:b/>
          <w:u w:val="single"/>
        </w:rPr>
        <w:sectPr w:rsidR="008E0CD3" w:rsidRPr="00295DBE" w:rsidSect="008E0CD3">
          <w:footerReference w:type="even" r:id="rId10"/>
          <w:footerReference w:type="default" r:id="rId11"/>
          <w:footerReference w:type="first" r:id="rId12"/>
          <w:type w:val="continuous"/>
          <w:pgSz w:w="12240" w:h="15840"/>
          <w:pgMar w:top="1440" w:right="1440" w:bottom="1440" w:left="1440" w:header="720" w:footer="720" w:gutter="0"/>
          <w:pgNumType w:start="1"/>
          <w:cols w:space="720"/>
          <w:titlePg/>
          <w:docGrid w:linePitch="360"/>
        </w:sectPr>
      </w:pPr>
    </w:p>
    <w:p w14:paraId="53A3AAAF" w14:textId="77777777" w:rsidR="008E0CD3" w:rsidRPr="00295DBE" w:rsidRDefault="008E0CD3" w:rsidP="008E0CD3">
      <w:pPr>
        <w:rPr>
          <w:b/>
          <w:u w:val="single"/>
        </w:rPr>
        <w:sectPr w:rsidR="008E0CD3" w:rsidRPr="00295DBE" w:rsidSect="00B614FD">
          <w:footerReference w:type="default" r:id="rId13"/>
          <w:footerReference w:type="first" r:id="rId14"/>
          <w:pgSz w:w="12240" w:h="15840"/>
          <w:pgMar w:top="1440" w:right="1440" w:bottom="1440" w:left="1440" w:header="720" w:footer="720" w:gutter="0"/>
          <w:pgNumType w:start="1"/>
          <w:cols w:space="720"/>
          <w:titlePg/>
          <w:docGrid w:linePitch="360"/>
        </w:sectPr>
      </w:pPr>
      <w:r w:rsidRPr="00295DBE">
        <w:rPr>
          <w:b/>
          <w:u w:val="single"/>
        </w:rPr>
        <w:lastRenderedPageBreak/>
        <w:t>Introduction</w:t>
      </w:r>
    </w:p>
    <w:p w14:paraId="48D7CD9F" w14:textId="77777777" w:rsidR="008E0CD3" w:rsidRPr="00295DBE" w:rsidRDefault="008E0CD3" w:rsidP="008E0CD3">
      <w:pPr>
        <w:snapToGrid w:val="0"/>
        <w:ind w:firstLine="720"/>
        <w:rPr>
          <w:rFonts w:eastAsia="SimSun"/>
        </w:rPr>
      </w:pPr>
      <w:r w:rsidRPr="00295DBE">
        <w:rPr>
          <w:rFonts w:eastAsia="SimSun"/>
        </w:rPr>
        <w:t>State presence in the economy remains strong worldwide. State-owned enterprises (SOEs) rank among the largest firms in both emerging and advanced capitalist economies.</w:t>
      </w:r>
      <w:r w:rsidRPr="00295DBE">
        <w:rPr>
          <w:rStyle w:val="FootnoteReference"/>
          <w:rFonts w:eastAsia="SimSun"/>
        </w:rPr>
        <w:footnoteReference w:id="1"/>
      </w:r>
      <w:r w:rsidRPr="00295DBE">
        <w:rPr>
          <w:rFonts w:eastAsia="SimSun"/>
        </w:rPr>
        <w:t xml:space="preserve"> Some countries have even expanded state ownership by creating new SOEs or nationalizing existing firms.</w:t>
      </w:r>
      <w:r w:rsidRPr="00295DBE">
        <w:rPr>
          <w:rStyle w:val="FootnoteReference"/>
          <w:rFonts w:eastAsia="SimSun"/>
        </w:rPr>
        <w:footnoteReference w:id="2"/>
      </w:r>
      <w:r w:rsidRPr="00295DBE">
        <w:rPr>
          <w:rFonts w:eastAsia="SimSun"/>
        </w:rPr>
        <w:t xml:space="preserve"> These developments defy long-standing arguments that state ownership should be minimized or eliminated due to lower enterprise efficiency, productivity, and profitability.</w:t>
      </w:r>
      <w:r w:rsidRPr="00295DBE">
        <w:rPr>
          <w:rStyle w:val="FootnoteReference"/>
          <w:rFonts w:eastAsia="SimSun"/>
        </w:rPr>
        <w:footnoteReference w:id="3"/>
      </w:r>
      <w:r w:rsidRPr="00295DBE">
        <w:rPr>
          <w:rFonts w:eastAsia="SimSun"/>
        </w:rPr>
        <w:t xml:space="preserve"> SOEs persist because they serve crucial economic and political functions for governments: generating revenues via dividends and taxes, supporting employment, keeping key input prices low, responding to natural disasters and other crises, channeling capital toward targeted sectors and technologies, and supplying political elites with rents.</w:t>
      </w:r>
      <w:r w:rsidRPr="00295DBE">
        <w:rPr>
          <w:rStyle w:val="FootnoteReference"/>
          <w:rFonts w:eastAsia="SimSun"/>
        </w:rPr>
        <w:footnoteReference w:id="4"/>
      </w:r>
      <w:r w:rsidRPr="00295DBE">
        <w:rPr>
          <w:rFonts w:eastAsia="SimSun"/>
        </w:rPr>
        <w:t xml:space="preserve"> </w:t>
      </w:r>
    </w:p>
    <w:p w14:paraId="19F822A2" w14:textId="77777777" w:rsidR="008E0CD3" w:rsidRPr="00FE6BB3" w:rsidRDefault="008E0CD3" w:rsidP="008E0CD3">
      <w:pPr>
        <w:snapToGrid w:val="0"/>
        <w:ind w:firstLine="720"/>
        <w:rPr>
          <w:rFonts w:eastAsia="SimSun"/>
        </w:rPr>
      </w:pPr>
      <w:r w:rsidRPr="00295DBE">
        <w:rPr>
          <w:rFonts w:eastAsia="SimSun"/>
        </w:rPr>
        <w:t>How do governments manage these firms? SOEs are important entities for states to control because they represent significant economic and political value. One key tool is “personnel power,” authority over SOE executive appointment</w:t>
      </w:r>
      <w:r>
        <w:rPr>
          <w:rFonts w:eastAsia="SimSun"/>
        </w:rPr>
        <w:t>s</w:t>
      </w:r>
      <w:r w:rsidRPr="00295DBE">
        <w:rPr>
          <w:rFonts w:eastAsia="SimSun"/>
        </w:rPr>
        <w:t xml:space="preserve">. Systems of SOE executive appointment worldwide vary from market-oriented to political-oriented. On the market end of this spectrum are systems in which SOE boards </w:t>
      </w:r>
      <w:r w:rsidRPr="00FE6BB3">
        <w:rPr>
          <w:rFonts w:eastAsia="SimSun"/>
        </w:rPr>
        <w:t>of directors choose their executives instead of state appointments, approvals, or nominations.</w:t>
      </w:r>
      <w:r w:rsidRPr="00FE6BB3">
        <w:rPr>
          <w:rStyle w:val="FootnoteReference"/>
          <w:rFonts w:eastAsia="SimSun"/>
        </w:rPr>
        <w:footnoteReference w:id="5"/>
      </w:r>
      <w:r w:rsidRPr="00FE6BB3">
        <w:rPr>
          <w:rFonts w:eastAsia="SimSun"/>
        </w:rPr>
        <w:t xml:space="preserve"> At the other end are systems in which SOE executives are themselves government officials or high-ranking members of the ruling elite.</w:t>
      </w:r>
      <w:r w:rsidRPr="00FE6BB3">
        <w:rPr>
          <w:rStyle w:val="FootnoteReference"/>
          <w:rFonts w:eastAsia="SimSun"/>
        </w:rPr>
        <w:footnoteReference w:id="6"/>
      </w:r>
      <w:r w:rsidRPr="00FE6BB3">
        <w:rPr>
          <w:rFonts w:eastAsia="SimSun"/>
        </w:rPr>
        <w:t xml:space="preserve"> </w:t>
      </w:r>
    </w:p>
    <w:p w14:paraId="5F555A78" w14:textId="77777777" w:rsidR="008E0CD3" w:rsidRPr="00FE6BB3" w:rsidRDefault="008E0CD3" w:rsidP="008E0CD3">
      <w:pPr>
        <w:snapToGrid w:val="0"/>
        <w:ind w:firstLine="720"/>
        <w:rPr>
          <w:rFonts w:eastAsia="SimSun"/>
        </w:rPr>
      </w:pPr>
      <w:r w:rsidRPr="00FE6BB3">
        <w:rPr>
          <w:rFonts w:eastAsia="SimSun"/>
        </w:rPr>
        <w:t>We examine how personnel power is exercised in China, a context in which SOEs are highly politically integrated. China is an important case because its state sector is the biggest in both global and domestic terms. China has the largest total number of SOEs and also the highest share of SOEs among its biggest companies.</w:t>
      </w:r>
      <w:r w:rsidRPr="00FE6BB3">
        <w:rPr>
          <w:rStyle w:val="FootnoteReference"/>
          <w:rFonts w:eastAsia="SimSun"/>
        </w:rPr>
        <w:footnoteReference w:id="7"/>
      </w:r>
      <w:r w:rsidRPr="00FE6BB3">
        <w:rPr>
          <w:rFonts w:eastAsia="SimSun"/>
        </w:rPr>
        <w:t xml:space="preserve"> SOEs </w:t>
      </w:r>
      <w:r>
        <w:rPr>
          <w:rFonts w:eastAsia="SimSun"/>
        </w:rPr>
        <w:t xml:space="preserve">contribute an estimated 23 percent of the country’s GDP and </w:t>
      </w:r>
      <w:r w:rsidRPr="00FE6BB3">
        <w:rPr>
          <w:rFonts w:eastAsia="SimSun"/>
        </w:rPr>
        <w:t xml:space="preserve">constitute a vital part of </w:t>
      </w:r>
      <w:r>
        <w:rPr>
          <w:rFonts w:eastAsia="SimSun"/>
        </w:rPr>
        <w:t xml:space="preserve">its </w:t>
      </w:r>
      <w:r w:rsidRPr="00FE6BB3">
        <w:rPr>
          <w:rFonts w:eastAsia="SimSun"/>
        </w:rPr>
        <w:t>industry and equity markets: they account for 28 percent of industrial assets, as well as approximately 40 percent of total market capitalization and 50 percent of revenues of publicly-listed companies.</w:t>
      </w:r>
      <w:r w:rsidRPr="00FE6BB3">
        <w:rPr>
          <w:rStyle w:val="FootnoteReference"/>
          <w:rFonts w:eastAsia="SimSun"/>
        </w:rPr>
        <w:footnoteReference w:id="8"/>
      </w:r>
      <w:r>
        <w:rPr>
          <w:rFonts w:eastAsia="SimSun"/>
        </w:rPr>
        <w:t xml:space="preserve"> </w:t>
      </w:r>
      <w:r w:rsidRPr="00FE6BB3">
        <w:rPr>
          <w:rFonts w:eastAsia="SimSun"/>
        </w:rPr>
        <w:t>Moreover, Chinese SOEs have long provided the majority of overseas direct investment.</w:t>
      </w:r>
      <w:r w:rsidRPr="00FE6BB3">
        <w:rPr>
          <w:rStyle w:val="FootnoteReference"/>
          <w:rFonts w:eastAsia="SimSun"/>
        </w:rPr>
        <w:footnoteReference w:id="9"/>
      </w:r>
      <w:r w:rsidRPr="00FE6BB3">
        <w:rPr>
          <w:rFonts w:eastAsia="SimSun"/>
        </w:rPr>
        <w:t xml:space="preserve"> How the government manages SOEs therefore significantly affects both the domestic and global economies. Comparatively, the Chinese case may offer insights into the balance of economic and political factors in SOE management in other politically-oriented systems. </w:t>
      </w:r>
    </w:p>
    <w:p w14:paraId="687CA195" w14:textId="77777777" w:rsidR="008E0CD3" w:rsidRPr="00FE6BB3" w:rsidRDefault="008E0CD3" w:rsidP="008E0CD3">
      <w:pPr>
        <w:ind w:firstLine="720"/>
        <w:rPr>
          <w:rFonts w:eastAsia="SimSun"/>
        </w:rPr>
      </w:pPr>
      <w:r w:rsidRPr="00FE6BB3">
        <w:rPr>
          <w:rFonts w:eastAsia="SimSun"/>
        </w:rPr>
        <w:t xml:space="preserve">We leverage original data to conduct the first systematic analysis of China’s governance of its largest SOEs via executive appointments. Specifically, we investigate the factors affecting the political mobility of the leaders of China’s 53 core central SOEs—who stays in the state-owned economy, who gets transferred to the government, and who exits. We use logit and multinomial logit models to analyze the </w:t>
      </w:r>
      <w:r w:rsidRPr="00FE6BB3">
        <w:rPr>
          <w:rFonts w:eastAsia="SimSun"/>
          <w:color w:val="222222"/>
          <w:shd w:val="clear" w:color="auto" w:fill="FFFFFF"/>
        </w:rPr>
        <w:t xml:space="preserve">attributes of top leaders and all central SOEs with vice-ministerial rank equivalence from 2003 to 2017. Specifically, we test if core central SOE leaders </w:t>
      </w:r>
      <w:r w:rsidRPr="00FE6BB3">
        <w:rPr>
          <w:rFonts w:eastAsia="SimSun"/>
          <w:color w:val="222222"/>
          <w:shd w:val="clear" w:color="auto" w:fill="FFFFFF"/>
        </w:rPr>
        <w:lastRenderedPageBreak/>
        <w:t xml:space="preserve">are rewarded for delivering positive economic performance or </w:t>
      </w:r>
      <w:r>
        <w:rPr>
          <w:rFonts w:eastAsia="SimSun"/>
          <w:color w:val="222222"/>
          <w:shd w:val="clear" w:color="auto" w:fill="FFFFFF"/>
        </w:rPr>
        <w:t xml:space="preserve">are </w:t>
      </w:r>
      <w:r w:rsidRPr="00FE6BB3">
        <w:rPr>
          <w:rFonts w:eastAsia="SimSun"/>
          <w:color w:val="222222"/>
          <w:shd w:val="clear" w:color="auto" w:fill="FFFFFF"/>
        </w:rPr>
        <w:t xml:space="preserve">moved to other positions for reasons of political connectedness. </w:t>
      </w:r>
    </w:p>
    <w:p w14:paraId="104FB1DD" w14:textId="77777777" w:rsidR="008E0CD3" w:rsidRPr="003B7A31" w:rsidRDefault="008E0CD3" w:rsidP="008E0CD3">
      <w:pPr>
        <w:ind w:firstLine="720"/>
      </w:pPr>
      <w:r w:rsidRPr="00FE6BB3">
        <w:rPr>
          <w:rFonts w:eastAsia="SimSun"/>
          <w:color w:val="222222"/>
          <w:shd w:val="clear" w:color="auto" w:fill="FFFFFF"/>
        </w:rPr>
        <w:t>Our findings are twofold. First, we find</w:t>
      </w:r>
      <w:r w:rsidRPr="00FE6BB3">
        <w:rPr>
          <w:rFonts w:eastAsia="SimSun"/>
        </w:rPr>
        <w:t xml:space="preserve"> that better economic performance decreases the likelihood of a SOE leader exiting executive life and being transferred to a government position. Second, we find that SOE leaders are more likely to stay in their posts if they have informal connections to the political elites in charge of their evaluation; the more connections they have, the more likely they are to stay in the state-owned economy rather than exit or move into government. Put simply, China’s P</w:t>
      </w:r>
      <w:r w:rsidRPr="003B7A31">
        <w:rPr>
          <w:rFonts w:eastAsia="SimSun"/>
        </w:rPr>
        <w:t xml:space="preserve">arty state retains SOE executives who deliver on the bottom line and are connected with the leadership of Party and government organs responsible for personnel and enterprise administration. At the same, it rewards those who have accumulated government experience and Party training with possible political advancement. </w:t>
      </w:r>
      <w:r w:rsidRPr="003B7A31">
        <w:t xml:space="preserve">These findings suggest that in contexts like China where SOEs are highly integrated with the state apparatus and ruling elites, personnel power </w:t>
      </w:r>
      <w:r>
        <w:t>can function as</w:t>
      </w:r>
      <w:r w:rsidRPr="003B7A31">
        <w:t xml:space="preserve"> an instrument for economic and political stability. </w:t>
      </w:r>
    </w:p>
    <w:p w14:paraId="5C6731DE" w14:textId="77777777" w:rsidR="008E0CD3" w:rsidRPr="003B7A31" w:rsidRDefault="008E0CD3" w:rsidP="008E0CD3">
      <w:pPr>
        <w:ind w:firstLine="720"/>
      </w:pPr>
    </w:p>
    <w:p w14:paraId="7DF0EF88" w14:textId="77777777" w:rsidR="008E0CD3" w:rsidRPr="003B7A31" w:rsidRDefault="008E0CD3" w:rsidP="008E0CD3">
      <w:pPr>
        <w:rPr>
          <w:b/>
          <w:u w:val="single"/>
        </w:rPr>
      </w:pPr>
      <w:r w:rsidRPr="003B7A31">
        <w:rPr>
          <w:b/>
          <w:u w:val="single"/>
        </w:rPr>
        <w:t>SOE Management Around the World</w:t>
      </w:r>
    </w:p>
    <w:p w14:paraId="1F22251A" w14:textId="77777777" w:rsidR="008E0CD3" w:rsidRPr="003B7A31" w:rsidRDefault="008E0CD3" w:rsidP="008E0CD3">
      <w:pPr>
        <w:snapToGrid w:val="0"/>
        <w:ind w:firstLine="720"/>
        <w:rPr>
          <w:rFonts w:eastAsia="SimSun"/>
        </w:rPr>
      </w:pPr>
      <w:r w:rsidRPr="003B7A31">
        <w:t>SOEs serve vital economic and political functions for governments, making state management of these firms an important issue for comparative politics. Dividends and taxes from SOEs often constitute a significant source of government revenues. State firms also support stability by providing employment, keeping key input prices low, and responding to natural disasters, financial crises, and public health challenges. They facilitate industrial policy, national development, and economic statecraft by channeling capital toward targeted sectors and technologies and executing major infrastructure projects at home and overseas. They also supply political elites with an important source of rents.</w:t>
      </w:r>
    </w:p>
    <w:p w14:paraId="7BF6111C" w14:textId="77777777" w:rsidR="008E0CD3" w:rsidRPr="003B7A31" w:rsidRDefault="008E0CD3" w:rsidP="008E0CD3">
      <w:pPr>
        <w:ind w:firstLine="720"/>
      </w:pPr>
      <w:r w:rsidRPr="003B7A31">
        <w:t xml:space="preserve">Many governments use authority over executive appointments as a key method of governing SOEs. The logic is simple: control the leader, control the SOE. SOE executives directly </w:t>
      </w:r>
      <w:r>
        <w:t>affect</w:t>
      </w:r>
      <w:r w:rsidRPr="003B7A31">
        <w:t xml:space="preserve"> firm organization and behavior by making and executing choices about strategy and structure. Specifically, SOE leaders choose whether and how to respond to state directives and changes in external economic and political environments. They also shape </w:t>
      </w:r>
      <w:r>
        <w:t>corporate</w:t>
      </w:r>
      <w:r w:rsidRPr="003B7A31">
        <w:t xml:space="preserve"> structure by creating, eliminating, or modifying departments; altering internal hierarchies of authority; and reallocating assets, capital, and personnel. As more SOEs operate outside of their home countries, SOE executives’ decisions now affect markets, communities, and environments worldwide. </w:t>
      </w:r>
    </w:p>
    <w:p w14:paraId="29FB67FE" w14:textId="41FB47E7" w:rsidR="008E0CD3" w:rsidRDefault="008E0CD3" w:rsidP="008E0CD3">
      <w:pPr>
        <w:ind w:firstLine="720"/>
        <w:rPr>
          <w:rFonts w:eastAsia="SimSun"/>
        </w:rPr>
      </w:pPr>
      <w:r w:rsidRPr="003B7A31">
        <w:rPr>
          <w:rFonts w:eastAsia="SimSun"/>
        </w:rPr>
        <w:t>SOE executive appointment systems worldwide vary from market-oriented to political-oriented (Figure 1). On the far market end are systems in which SOE boards of directors select executives.</w:t>
      </w:r>
      <w:r w:rsidRPr="003B7A31">
        <w:rPr>
          <w:rStyle w:val="FootnoteReference"/>
          <w:rFonts w:eastAsia="SimSun"/>
        </w:rPr>
        <w:footnoteReference w:id="10"/>
      </w:r>
      <w:r w:rsidRPr="003B7A31">
        <w:rPr>
          <w:rFonts w:eastAsia="SimSun"/>
        </w:rPr>
        <w:t xml:space="preserve"> Such systems are few in number and located predominantly in advanced capitalist economies, including Australia, Germany, New Zealand, Norway, and Sweden.</w:t>
      </w:r>
      <w:r w:rsidRPr="003B7A31">
        <w:rPr>
          <w:rStyle w:val="FootnoteReference"/>
          <w:rFonts w:eastAsia="SimSun"/>
        </w:rPr>
        <w:footnoteReference w:id="11"/>
      </w:r>
      <w:r w:rsidRPr="003B7A31">
        <w:rPr>
          <w:rFonts w:eastAsia="SimSun"/>
        </w:rPr>
        <w:t xml:space="preserve"> Other countries blend a primarily market orientation with limited state involvement. For example, South Africa permits SOE boards of directors to select executives subject to consultation with and final approval by state authorities.</w:t>
      </w:r>
      <w:r w:rsidRPr="003B7A31">
        <w:rPr>
          <w:rStyle w:val="FootnoteReference"/>
          <w:rFonts w:eastAsia="SimSun"/>
        </w:rPr>
        <w:footnoteReference w:id="12"/>
      </w:r>
      <w:r w:rsidRPr="003B7A31">
        <w:rPr>
          <w:rFonts w:eastAsia="SimSun"/>
        </w:rPr>
        <w:t xml:space="preserve"> In these systems, SOEs are managed like private firms, with market forces driving executive assessment and selection.</w:t>
      </w:r>
    </w:p>
    <w:p w14:paraId="60024BD2" w14:textId="77777777" w:rsidR="008E0CD3" w:rsidRDefault="008E0CD3" w:rsidP="008E0CD3">
      <w:pPr>
        <w:ind w:firstLine="720"/>
        <w:rPr>
          <w:rFonts w:eastAsia="SimSun"/>
        </w:rPr>
      </w:pPr>
    </w:p>
    <w:p w14:paraId="24464F24" w14:textId="77777777" w:rsidR="00127C2E" w:rsidRDefault="00127C2E" w:rsidP="008E0CD3">
      <w:pPr>
        <w:jc w:val="center"/>
        <w:rPr>
          <w:b/>
          <w:bCs/>
        </w:rPr>
      </w:pPr>
    </w:p>
    <w:p w14:paraId="27131E84" w14:textId="4FA5BCBC" w:rsidR="008E0CD3" w:rsidRPr="008E0CD3" w:rsidRDefault="008E0CD3" w:rsidP="008E0CD3">
      <w:pPr>
        <w:jc w:val="center"/>
        <w:rPr>
          <w:b/>
          <w:bCs/>
        </w:rPr>
      </w:pPr>
      <w:r w:rsidRPr="008E0CD3">
        <w:rPr>
          <w:b/>
          <w:bCs/>
        </w:rPr>
        <w:lastRenderedPageBreak/>
        <w:t>Figure 1</w:t>
      </w:r>
      <w:r w:rsidR="00127C2E">
        <w:rPr>
          <w:b/>
          <w:bCs/>
        </w:rPr>
        <w:t xml:space="preserve">: </w:t>
      </w:r>
      <w:r w:rsidRPr="008E0CD3">
        <w:rPr>
          <w:b/>
          <w:bCs/>
        </w:rPr>
        <w:t>Spectrum of SOE Management Systems</w:t>
      </w:r>
    </w:p>
    <w:p w14:paraId="238666E7" w14:textId="77777777" w:rsidR="008E0CD3" w:rsidRDefault="008E0CD3" w:rsidP="008E0CD3">
      <w:pPr>
        <w:jc w:val="center"/>
      </w:pPr>
    </w:p>
    <w:p w14:paraId="76266130" w14:textId="77777777" w:rsidR="008E0CD3" w:rsidRDefault="008E0CD3" w:rsidP="008E0CD3">
      <w:pPr>
        <w:jc w:val="center"/>
      </w:pPr>
      <w:r>
        <w:rPr>
          <w:noProof/>
        </w:rPr>
        <mc:AlternateContent>
          <mc:Choice Requires="wps">
            <w:drawing>
              <wp:anchor distT="0" distB="0" distL="114300" distR="114300" simplePos="0" relativeHeight="251659264" behindDoc="0" locked="0" layoutInCell="1" allowOverlap="1" wp14:anchorId="5C4AE7A8" wp14:editId="40A60667">
                <wp:simplePos x="0" y="0"/>
                <wp:positionH relativeFrom="column">
                  <wp:posOffset>0</wp:posOffset>
                </wp:positionH>
                <wp:positionV relativeFrom="paragraph">
                  <wp:posOffset>12065</wp:posOffset>
                </wp:positionV>
                <wp:extent cx="5977890" cy="192810"/>
                <wp:effectExtent l="12700" t="12700" r="16510" b="23495"/>
                <wp:wrapNone/>
                <wp:docPr id="4" name="Left-Right Arrow 4"/>
                <wp:cNvGraphicFramePr/>
                <a:graphic xmlns:a="http://schemas.openxmlformats.org/drawingml/2006/main">
                  <a:graphicData uri="http://schemas.microsoft.com/office/word/2010/wordprocessingShape">
                    <wps:wsp>
                      <wps:cNvSpPr/>
                      <wps:spPr>
                        <a:xfrm>
                          <a:off x="0" y="0"/>
                          <a:ext cx="5977890" cy="192810"/>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2F2522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 o:spid="_x0000_s1026" type="#_x0000_t69" style="position:absolute;margin-left:0;margin-top:.95pt;width:470.7pt;height:1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" adj="348" filled="f" strokecolor="black [3213]" strokeweight="1pt"/>
            </w:pict>
          </mc:Fallback>
        </mc:AlternateContent>
      </w:r>
    </w:p>
    <w:p w14:paraId="396B7443" w14:textId="77777777" w:rsidR="008E0CD3" w:rsidRDefault="008E0CD3" w:rsidP="008E0CD3">
      <w:pPr>
        <w:jc w:val="center"/>
      </w:pPr>
    </w:p>
    <w:p w14:paraId="6A57F1B3" w14:textId="52B2AD03" w:rsidR="008E0CD3" w:rsidRDefault="008E0CD3" w:rsidP="008E0CD3">
      <w:r w:rsidRPr="0058544A">
        <w:rPr>
          <w:b/>
          <w:bCs/>
        </w:rPr>
        <w:t>Market-Oriented</w:t>
      </w:r>
      <w:r>
        <w:tab/>
      </w:r>
      <w:r>
        <w:tab/>
      </w:r>
      <w:r>
        <w:tab/>
      </w:r>
      <w:r>
        <w:tab/>
      </w:r>
      <w:r>
        <w:tab/>
      </w:r>
      <w:r>
        <w:tab/>
      </w:r>
      <w:r>
        <w:tab/>
      </w:r>
      <w:r>
        <w:tab/>
        <w:t xml:space="preserve">     </w:t>
      </w:r>
      <w:r w:rsidRPr="0058544A">
        <w:rPr>
          <w:b/>
          <w:bCs/>
        </w:rPr>
        <w:t>Political-Oriented</w:t>
      </w:r>
    </w:p>
    <w:p w14:paraId="4AE0452E" w14:textId="77777777" w:rsidR="008E0CD3" w:rsidRDefault="008E0CD3" w:rsidP="008E0CD3"/>
    <w:p w14:paraId="18CAD7CB" w14:textId="61657EEE" w:rsidR="008E0CD3" w:rsidRPr="0058544A" w:rsidRDefault="008E0CD3" w:rsidP="008E0CD3">
      <w:pPr>
        <w:rPr>
          <w:sz w:val="23"/>
          <w:szCs w:val="23"/>
        </w:rPr>
      </w:pPr>
      <w:r w:rsidRPr="0058544A">
        <w:rPr>
          <w:sz w:val="23"/>
          <w:szCs w:val="23"/>
        </w:rPr>
        <w:t>State has weak personnel power</w:t>
      </w:r>
      <w:r w:rsidRPr="0058544A">
        <w:rPr>
          <w:sz w:val="23"/>
          <w:szCs w:val="23"/>
        </w:rPr>
        <w:tab/>
      </w:r>
      <w:r w:rsidRPr="0058544A">
        <w:rPr>
          <w:sz w:val="23"/>
          <w:szCs w:val="23"/>
        </w:rPr>
        <w:tab/>
      </w:r>
      <w:r w:rsidRPr="0058544A">
        <w:rPr>
          <w:sz w:val="23"/>
          <w:szCs w:val="23"/>
        </w:rPr>
        <w:tab/>
      </w:r>
      <w:r w:rsidRPr="0058544A">
        <w:rPr>
          <w:sz w:val="23"/>
          <w:szCs w:val="23"/>
        </w:rPr>
        <w:tab/>
        <w:t xml:space="preserve">     </w:t>
      </w:r>
      <w:r>
        <w:rPr>
          <w:sz w:val="23"/>
          <w:szCs w:val="23"/>
        </w:rPr>
        <w:t xml:space="preserve">    </w:t>
      </w:r>
      <w:r w:rsidRPr="0058544A">
        <w:rPr>
          <w:sz w:val="23"/>
          <w:szCs w:val="23"/>
        </w:rPr>
        <w:t>State has strong personnel power</w:t>
      </w:r>
    </w:p>
    <w:p w14:paraId="38C557AB" w14:textId="38A7C677" w:rsidR="008E0CD3" w:rsidRPr="0058544A" w:rsidRDefault="008E0CD3" w:rsidP="008E0CD3">
      <w:pPr>
        <w:rPr>
          <w:sz w:val="23"/>
          <w:szCs w:val="23"/>
        </w:rPr>
      </w:pPr>
      <w:r w:rsidRPr="0058544A">
        <w:rPr>
          <w:sz w:val="23"/>
          <w:szCs w:val="23"/>
        </w:rPr>
        <w:t xml:space="preserve">SOEs more independent from state apparatus </w:t>
      </w:r>
      <w:r>
        <w:rPr>
          <w:sz w:val="23"/>
          <w:szCs w:val="23"/>
        </w:rPr>
        <w:t xml:space="preserve">   </w:t>
      </w:r>
      <w:r w:rsidRPr="0058544A">
        <w:rPr>
          <w:sz w:val="23"/>
          <w:szCs w:val="23"/>
        </w:rPr>
        <w:t xml:space="preserve"> </w:t>
      </w:r>
      <w:r>
        <w:rPr>
          <w:sz w:val="23"/>
          <w:szCs w:val="23"/>
        </w:rPr>
        <w:t xml:space="preserve">               </w:t>
      </w:r>
      <w:r w:rsidRPr="0058544A">
        <w:rPr>
          <w:sz w:val="23"/>
          <w:szCs w:val="23"/>
        </w:rPr>
        <w:t>SOEs highly integrated with state</w:t>
      </w:r>
      <w:r>
        <w:rPr>
          <w:sz w:val="23"/>
          <w:szCs w:val="23"/>
        </w:rPr>
        <w:t xml:space="preserve"> </w:t>
      </w:r>
      <w:r w:rsidRPr="0058544A">
        <w:rPr>
          <w:sz w:val="23"/>
          <w:szCs w:val="23"/>
        </w:rPr>
        <w:t>apparatus</w:t>
      </w:r>
    </w:p>
    <w:p w14:paraId="05C11B8F" w14:textId="2BA436A4" w:rsidR="008E0CD3" w:rsidRPr="0058544A" w:rsidRDefault="008E0CD3" w:rsidP="008E0CD3">
      <w:pPr>
        <w:rPr>
          <w:sz w:val="23"/>
          <w:szCs w:val="23"/>
        </w:rPr>
      </w:pPr>
      <w:r w:rsidRPr="0058544A">
        <w:rPr>
          <w:sz w:val="23"/>
          <w:szCs w:val="23"/>
        </w:rPr>
        <w:t xml:space="preserve">Market factors drive SOE leaders’ careers </w:t>
      </w:r>
      <w:r w:rsidRPr="0058544A">
        <w:rPr>
          <w:sz w:val="23"/>
          <w:szCs w:val="23"/>
        </w:rPr>
        <w:tab/>
      </w:r>
      <w:r w:rsidRPr="0058544A">
        <w:rPr>
          <w:sz w:val="23"/>
          <w:szCs w:val="23"/>
        </w:rPr>
        <w:tab/>
        <w:t xml:space="preserve">    </w:t>
      </w:r>
      <w:r>
        <w:rPr>
          <w:sz w:val="23"/>
          <w:szCs w:val="23"/>
        </w:rPr>
        <w:t xml:space="preserve">  </w:t>
      </w:r>
      <w:r w:rsidRPr="0058544A">
        <w:rPr>
          <w:sz w:val="23"/>
          <w:szCs w:val="23"/>
        </w:rPr>
        <w:t>Political factors drive SOE leaders’ careers</w:t>
      </w:r>
    </w:p>
    <w:p w14:paraId="0A457E83" w14:textId="0DC35DC9" w:rsidR="008E0CD3" w:rsidRDefault="008E0CD3" w:rsidP="008E0CD3">
      <w:pPr>
        <w:ind w:firstLine="720"/>
        <w:rPr>
          <w:rFonts w:eastAsia="SimSun"/>
        </w:rPr>
      </w:pPr>
    </w:p>
    <w:p w14:paraId="1AF19C06" w14:textId="77777777" w:rsidR="008E0CD3" w:rsidRPr="003B7A31" w:rsidRDefault="008E0CD3" w:rsidP="008E0CD3">
      <w:pPr>
        <w:ind w:firstLine="720"/>
        <w:rPr>
          <w:rFonts w:eastAsia="SimSun"/>
        </w:rPr>
      </w:pPr>
    </w:p>
    <w:p w14:paraId="73E3A06A" w14:textId="77777777" w:rsidR="008E0CD3" w:rsidRPr="003B7A31" w:rsidRDefault="008E0CD3" w:rsidP="008E0CD3">
      <w:pPr>
        <w:snapToGrid w:val="0"/>
        <w:ind w:firstLine="720"/>
        <w:rPr>
          <w:rFonts w:eastAsia="SimSun"/>
        </w:rPr>
      </w:pPr>
      <w:r w:rsidRPr="003B7A31">
        <w:t xml:space="preserve">On the far political end are systems in which the state chooses SOE </w:t>
      </w:r>
      <w:proofErr w:type="gramStart"/>
      <w:r w:rsidRPr="003B7A31">
        <w:t>executives</w:t>
      </w:r>
      <w:proofErr w:type="gramEnd"/>
      <w:r w:rsidRPr="003B7A31">
        <w:t xml:space="preserve"> and they are highly integrated with the state apparatus and ruling elites. Paradigmatic cases include Gulf states like Qatar and Bahrain, where members of the ruling family personally select executives and can themselves serve as SOE leaders</w:t>
      </w:r>
      <w:r w:rsidRPr="003B7A31">
        <w:rPr>
          <w:rFonts w:eastAsia="SimSun"/>
        </w:rPr>
        <w:t>.</w:t>
      </w:r>
      <w:r w:rsidRPr="003B7A31">
        <w:rPr>
          <w:rStyle w:val="FootnoteReference"/>
          <w:rFonts w:eastAsia="SimSun"/>
        </w:rPr>
        <w:footnoteReference w:id="13"/>
      </w:r>
      <w:r w:rsidRPr="003B7A31">
        <w:rPr>
          <w:rFonts w:eastAsia="SimSun"/>
        </w:rPr>
        <w:t xml:space="preserve"> In Russia, top presidential administration officials and ministers routinely serve concurrently as the chairmen of the largest SOEs; the state can also bypass boards to appoint CEOs.</w:t>
      </w:r>
      <w:r w:rsidRPr="003B7A31">
        <w:rPr>
          <w:rStyle w:val="FootnoteReference"/>
          <w:rFonts w:eastAsia="SimSun"/>
        </w:rPr>
        <w:footnoteReference w:id="14"/>
      </w:r>
      <w:r w:rsidRPr="003B7A31">
        <w:rPr>
          <w:rFonts w:eastAsia="SimSun"/>
        </w:rPr>
        <w:t xml:space="preserve"> In these systems, firms act more like bureaucratic government organizations than fully marketized entities.</w:t>
      </w:r>
    </w:p>
    <w:p w14:paraId="7E8DF392" w14:textId="77777777" w:rsidR="008E0CD3" w:rsidRPr="003B7A31" w:rsidRDefault="008E0CD3" w:rsidP="008E0CD3">
      <w:pPr>
        <w:snapToGrid w:val="0"/>
        <w:ind w:firstLine="720"/>
        <w:rPr>
          <w:rFonts w:eastAsia="SimSun"/>
        </w:rPr>
      </w:pPr>
      <w:r w:rsidRPr="003B7A31">
        <w:rPr>
          <w:rFonts w:eastAsia="SimSun"/>
        </w:rPr>
        <w:t xml:space="preserve">Between the extremes are blended types where governments may appoint leaders, </w:t>
      </w:r>
      <w:proofErr w:type="gramStart"/>
      <w:r w:rsidRPr="003B7A31">
        <w:rPr>
          <w:rFonts w:eastAsia="SimSun"/>
        </w:rPr>
        <w:t>but  SOE</w:t>
      </w:r>
      <w:proofErr w:type="gramEnd"/>
      <w:r w:rsidRPr="003B7A31">
        <w:rPr>
          <w:rFonts w:eastAsia="SimSun"/>
        </w:rPr>
        <w:t xml:space="preserve"> executives</w:t>
      </w:r>
      <w:r>
        <w:rPr>
          <w:rFonts w:eastAsia="SimSun"/>
        </w:rPr>
        <w:t xml:space="preserve"> vary in their connectedness with</w:t>
      </w:r>
      <w:r w:rsidRPr="003B7A31">
        <w:rPr>
          <w:rFonts w:eastAsia="SimSun"/>
        </w:rPr>
        <w:t xml:space="preserve"> the political elite. In South Korea, for example, the president directly appoints the heads of SOEs, typically choosing individuals who are former political allies but who do not serve concurrently as government officials.</w:t>
      </w:r>
      <w:r w:rsidRPr="003B7A31">
        <w:rPr>
          <w:rStyle w:val="FootnoteReference"/>
          <w:rFonts w:eastAsia="SimSun"/>
        </w:rPr>
        <w:footnoteReference w:id="15"/>
      </w:r>
      <w:r w:rsidRPr="003B7A31">
        <w:rPr>
          <w:rFonts w:eastAsia="SimSun"/>
        </w:rPr>
        <w:t xml:space="preserve"> In Austria, government ministries retain primary powers of appointment over top management positions in state firms, with ministers who are unconstrained by watchdog junior ministers more likely to appoint SOE executives who share their partisan affiliation.</w:t>
      </w:r>
      <w:r w:rsidRPr="003B7A31">
        <w:rPr>
          <w:rStyle w:val="FootnoteReference"/>
          <w:rFonts w:eastAsia="SimSun"/>
        </w:rPr>
        <w:footnoteReference w:id="16"/>
      </w:r>
      <w:r w:rsidRPr="003B7A31">
        <w:rPr>
          <w:rFonts w:eastAsia="SimSun"/>
        </w:rPr>
        <w:t xml:space="preserve"> </w:t>
      </w:r>
    </w:p>
    <w:p w14:paraId="26C62BFD" w14:textId="77777777" w:rsidR="008E0CD3" w:rsidRPr="003B7A31" w:rsidRDefault="008E0CD3" w:rsidP="008E0CD3">
      <w:pPr>
        <w:snapToGrid w:val="0"/>
        <w:ind w:firstLine="720"/>
        <w:rPr>
          <w:rFonts w:eastAsia="SimSun"/>
        </w:rPr>
      </w:pPr>
      <w:r w:rsidRPr="003B7A31">
        <w:rPr>
          <w:rFonts w:eastAsia="SimSun"/>
        </w:rPr>
        <w:t xml:space="preserve">Factors affecting the state’s exercise of personnel power vary depending on where a system of SOE executive appointment falls on this spectrum. Toward the market-oriented end, firm performance should better explain SOE executive career trajectories because the state interferes less, allowing markets to determine outcomes. However, toward the political-oriented end, firm performance alone is unlikely to account for who gets and keeps leadership positions. Instead, political factors like ties with higher-level officials or previous work experience must also be considered. While market forces may play a role, the interconnectedness of government and SOEs creates greater opportunities for political factors to matter. </w:t>
      </w:r>
    </w:p>
    <w:p w14:paraId="1B925DCE" w14:textId="77777777" w:rsidR="008E0CD3" w:rsidRPr="003B7A31" w:rsidRDefault="008E0CD3" w:rsidP="008E0CD3">
      <w:pPr>
        <w:snapToGrid w:val="0"/>
        <w:ind w:firstLine="720"/>
        <w:rPr>
          <w:rFonts w:eastAsia="SimSun"/>
        </w:rPr>
      </w:pPr>
      <w:r w:rsidRPr="003B7A31">
        <w:rPr>
          <w:rFonts w:eastAsia="SimSun"/>
        </w:rPr>
        <w:t>This study focuses on one case of a highly politically-oriented SOE executive appointment system: China. Beyond its theoretical importance as a paradigmatic politically-oriented system, the China case is substantively significant because of Chinese SOEs’ economic might and because it is a bureaucratically defined system of oversight and authority, discussed below. Lessons from China may thus be informative for other contexts where political units have formal authority over leadership appointments.</w:t>
      </w:r>
    </w:p>
    <w:p w14:paraId="592579F5" w14:textId="77777777" w:rsidR="008E0CD3" w:rsidRPr="003B7A31" w:rsidRDefault="008E0CD3" w:rsidP="008E0CD3">
      <w:pPr>
        <w:snapToGrid w:val="0"/>
        <w:ind w:firstLine="720"/>
        <w:rPr>
          <w:rFonts w:eastAsia="SimSun"/>
        </w:rPr>
      </w:pPr>
    </w:p>
    <w:p w14:paraId="2C3E9424" w14:textId="3856DF8F" w:rsidR="00BE2FFE" w:rsidRDefault="00BE2FFE" w:rsidP="008E0CD3">
      <w:pPr>
        <w:snapToGrid w:val="0"/>
        <w:rPr>
          <w:b/>
          <w:u w:val="single"/>
        </w:rPr>
      </w:pPr>
    </w:p>
    <w:p w14:paraId="77CB55BA" w14:textId="77777777" w:rsidR="00127C2E" w:rsidRDefault="00127C2E" w:rsidP="008E0CD3">
      <w:pPr>
        <w:snapToGrid w:val="0"/>
        <w:rPr>
          <w:b/>
          <w:u w:val="single"/>
        </w:rPr>
      </w:pPr>
    </w:p>
    <w:p w14:paraId="0DC488D8" w14:textId="2C28973C" w:rsidR="008E0CD3" w:rsidRPr="003B7A31" w:rsidRDefault="008E0CD3" w:rsidP="008E0CD3">
      <w:pPr>
        <w:snapToGrid w:val="0"/>
        <w:rPr>
          <w:b/>
          <w:u w:val="single"/>
        </w:rPr>
      </w:pPr>
      <w:r w:rsidRPr="003B7A31">
        <w:rPr>
          <w:b/>
          <w:u w:val="single"/>
        </w:rPr>
        <w:lastRenderedPageBreak/>
        <w:t>SOEs in China</w:t>
      </w:r>
    </w:p>
    <w:p w14:paraId="47C27BF8" w14:textId="77777777" w:rsidR="008E0CD3" w:rsidRPr="003B7A31" w:rsidRDefault="008E0CD3" w:rsidP="008E0CD3">
      <w:pPr>
        <w:snapToGrid w:val="0"/>
        <w:ind w:firstLine="720"/>
        <w:rPr>
          <w:rFonts w:eastAsia="SimSun"/>
        </w:rPr>
      </w:pPr>
      <w:r w:rsidRPr="003B7A31">
        <w:rPr>
          <w:rFonts w:eastAsia="SimSun"/>
        </w:rPr>
        <w:t>Today, China has 97 central SOEs—non-financial companies owned by the central government and administered by the State-owned Assets Supervision and Administration Commission (SASAC).</w:t>
      </w:r>
      <w:r w:rsidRPr="003B7A31">
        <w:rPr>
          <w:rStyle w:val="FootnoteReference"/>
          <w:rFonts w:eastAsia="SimSun"/>
        </w:rPr>
        <w:footnoteReference w:id="17"/>
      </w:r>
      <w:r w:rsidRPr="003B7A31">
        <w:rPr>
          <w:rFonts w:eastAsia="SimSun"/>
        </w:rPr>
        <w:t xml:space="preserve"> Core central SOEs are a subset of these firms: their vice-ministerial rank equivalence sets them apart from other central SOEs with department-level rank equivalence.</w:t>
      </w:r>
      <w:r w:rsidRPr="003B7A31">
        <w:rPr>
          <w:rStyle w:val="FootnoteReference"/>
          <w:rFonts w:eastAsia="SimSun"/>
        </w:rPr>
        <w:footnoteReference w:id="18"/>
      </w:r>
      <w:r w:rsidRPr="003B7A31">
        <w:rPr>
          <w:rFonts w:eastAsia="SimSun"/>
        </w:rPr>
        <w:t xml:space="preserve"> This means that leaders of core central SOEs have a bureaucratic rank equivalent to government officials like mayors.</w:t>
      </w:r>
      <w:r w:rsidRPr="003B7A31">
        <w:rPr>
          <w:rStyle w:val="FootnoteReference"/>
          <w:rFonts w:eastAsia="SimSun"/>
        </w:rPr>
        <w:footnoteReference w:id="19"/>
      </w:r>
      <w:r w:rsidRPr="003B7A31">
        <w:rPr>
          <w:rFonts w:eastAsia="SimSun"/>
        </w:rPr>
        <w:t xml:space="preserve"> Most core central SOEs are concentrated in strategically important sectors with restricted competition, such as defense, petroleum, electricity, aviation, and telecommunications, while some operate in more competitive industries like electronics and automobiles.</w:t>
      </w:r>
      <w:r w:rsidRPr="003B7A31">
        <w:rPr>
          <w:rStyle w:val="FootnoteReference"/>
          <w:rFonts w:eastAsia="SimSun"/>
        </w:rPr>
        <w:footnoteReference w:id="20"/>
      </w:r>
      <w:r w:rsidRPr="003B7A31">
        <w:rPr>
          <w:rFonts w:eastAsia="SimSun"/>
        </w:rPr>
        <w:t xml:space="preserve"> This sectoral distribution mirrors other countries.</w:t>
      </w:r>
      <w:r w:rsidRPr="003B7A31">
        <w:rPr>
          <w:rStyle w:val="FootnoteReference"/>
          <w:rFonts w:eastAsia="SimSun"/>
        </w:rPr>
        <w:footnoteReference w:id="21"/>
      </w:r>
      <w:r w:rsidRPr="003B7A31">
        <w:rPr>
          <w:rFonts w:eastAsia="SimSun"/>
        </w:rPr>
        <w:t xml:space="preserve"> Core central SOEs are typically structured as large enterprise groups, with as many as 100 to 200 member entities—including joint venture firms, research institutes, and publicly listed subsidiaries—arrayed under a holding company wholly owned by SASAC.</w:t>
      </w:r>
      <w:r w:rsidRPr="003B7A31">
        <w:rPr>
          <w:rStyle w:val="FootnoteReference"/>
          <w:rFonts w:eastAsia="SimSun"/>
        </w:rPr>
        <w:footnoteReference w:id="22"/>
      </w:r>
      <w:r w:rsidRPr="003B7A31">
        <w:rPr>
          <w:rFonts w:eastAsia="SimSun"/>
        </w:rPr>
        <w:t xml:space="preserve"> </w:t>
      </w:r>
    </w:p>
    <w:p w14:paraId="0B1AA719" w14:textId="77777777" w:rsidR="008E0CD3" w:rsidRPr="004D67AB" w:rsidRDefault="008E0CD3" w:rsidP="008E0CD3">
      <w:pPr>
        <w:snapToGrid w:val="0"/>
        <w:ind w:firstLine="720"/>
      </w:pPr>
      <w:r w:rsidRPr="003B7A31">
        <w:t xml:space="preserve">The Central Organization Department (COD), the Chinese Communist Party (CCP) department responsible for managing all leading officials in China, directly appoints, transfers, and removes core central SOE leaders. </w:t>
      </w:r>
      <w:r w:rsidRPr="003B7A31">
        <w:rPr>
          <w:rFonts w:eastAsia="SimSun"/>
        </w:rPr>
        <w:t xml:space="preserve">Specifically, the core central SOE leaders that the COD manages are the individual(s) holding the positions of Party secretary, general manager, and board chairman. The COD has personnel authority for these executives even though the firms they </w:t>
      </w:r>
      <w:r>
        <w:rPr>
          <w:rFonts w:eastAsia="SimSun"/>
        </w:rPr>
        <w:t>l</w:t>
      </w:r>
      <w:r w:rsidRPr="003B7A31">
        <w:rPr>
          <w:rFonts w:eastAsia="SimSun"/>
        </w:rPr>
        <w:t>ead are formally under SASAC administration.</w:t>
      </w:r>
      <w:r w:rsidRPr="003B7A31">
        <w:rPr>
          <w:rStyle w:val="FootnoteReference"/>
          <w:rFonts w:eastAsia="SimSun"/>
        </w:rPr>
        <w:footnoteReference w:id="23"/>
      </w:r>
      <w:r w:rsidRPr="003B7A31">
        <w:rPr>
          <w:rFonts w:eastAsia="SimSun"/>
        </w:rPr>
        <w:t xml:space="preserve"> </w:t>
      </w:r>
      <w:r w:rsidRPr="003B7A31">
        <w:t>As Mark Wu (2016) puts such an institutional arrangement in comparative terms: “Imagine if one U.S. government agency controlled General Electric, General Motors, Ford, Boeing, U.S. Steel, DuPont, AT&amp;T, Verizon, Honeywell, and United Technologies. … It could h</w:t>
      </w:r>
      <w:r w:rsidRPr="004D67AB">
        <w:t xml:space="preserve">ire and fire management, deploy and transfer resources across holding companies, and generate synergies across its holdings” (272). Because the COD, a key Party organization, has final say over personnel appointments, there is a clear institutional pathway for political influence over SOE management. </w:t>
      </w:r>
      <w:r w:rsidRPr="004D67AB">
        <w:rPr>
          <w:rFonts w:eastAsia="SimSun"/>
        </w:rPr>
        <w:t>Figure 2 below depicts the administrative hierarchy and organizational structure of core central SOEs in China.</w:t>
      </w:r>
      <w:r w:rsidRPr="004D67AB">
        <w:t xml:space="preserve"> The division of administrative and personnel authority in China’s core central SOEs creates the potential for both economic and political factors to influence leader mobility, making this group of SOE leaders a crucial case for differentiating between their effects.</w:t>
      </w:r>
    </w:p>
    <w:p w14:paraId="253BB751" w14:textId="77777777" w:rsidR="008E0CD3" w:rsidRDefault="008E0CD3" w:rsidP="008E0CD3">
      <w:pPr>
        <w:ind w:firstLine="720"/>
      </w:pPr>
    </w:p>
    <w:p w14:paraId="0243CB10" w14:textId="6CAF0907" w:rsidR="008E0CD3" w:rsidRDefault="008E0CD3" w:rsidP="008E0CD3">
      <w:pPr>
        <w:ind w:firstLine="720"/>
      </w:pPr>
    </w:p>
    <w:p w14:paraId="02D117D3" w14:textId="2A8BA9FC" w:rsidR="008E0CD3" w:rsidRDefault="008E0CD3" w:rsidP="008E0CD3">
      <w:pPr>
        <w:ind w:firstLine="720"/>
      </w:pPr>
    </w:p>
    <w:p w14:paraId="77D4CCAA" w14:textId="7D973F25" w:rsidR="008E0CD3" w:rsidRDefault="00BE2FFE" w:rsidP="00BE2FFE">
      <w:pPr>
        <w:jc w:val="center"/>
        <w:rPr>
          <w:b/>
          <w:bCs/>
        </w:rPr>
      </w:pPr>
      <w:r w:rsidRPr="007B0318">
        <w:rPr>
          <w:b/>
          <w:bCs/>
        </w:rPr>
        <w:lastRenderedPageBreak/>
        <w:t>Figure 2</w:t>
      </w:r>
      <w:r w:rsidR="00127C2E">
        <w:rPr>
          <w:b/>
          <w:bCs/>
        </w:rPr>
        <w:t xml:space="preserve">: </w:t>
      </w:r>
      <w:r w:rsidRPr="007B0318">
        <w:rPr>
          <w:b/>
          <w:bCs/>
        </w:rPr>
        <w:t>Administrative Hierarchy and Organizational Structure of Central SOEs in China</w:t>
      </w:r>
    </w:p>
    <w:p w14:paraId="17FEFC7A" w14:textId="77777777" w:rsidR="00BE2FFE" w:rsidRPr="007B0318" w:rsidRDefault="00BE2FFE" w:rsidP="00BE2FFE">
      <w:pPr>
        <w:spacing w:line="360" w:lineRule="auto"/>
        <w:jc w:val="center"/>
        <w:rPr>
          <w:b/>
          <w:bCs/>
        </w:rPr>
      </w:pPr>
    </w:p>
    <w:p w14:paraId="39BC7AD6" w14:textId="77777777" w:rsidR="008E0CD3" w:rsidRPr="007B0318" w:rsidRDefault="008E0CD3" w:rsidP="008E0CD3">
      <w:r w:rsidRPr="007B0318">
        <w:rPr>
          <w:noProof/>
          <w:lang w:val="en-CA" w:eastAsia="en-CA"/>
        </w:rPr>
        <mc:AlternateContent>
          <mc:Choice Requires="wps">
            <w:drawing>
              <wp:anchor distT="0" distB="0" distL="114300" distR="114300" simplePos="0" relativeHeight="251662336" behindDoc="1" locked="0" layoutInCell="1" allowOverlap="1" wp14:anchorId="0EC13EEF" wp14:editId="26980C7A">
                <wp:simplePos x="0" y="0"/>
                <wp:positionH relativeFrom="column">
                  <wp:posOffset>570865</wp:posOffset>
                </wp:positionH>
                <wp:positionV relativeFrom="paragraph">
                  <wp:posOffset>4592320</wp:posOffset>
                </wp:positionV>
                <wp:extent cx="1495425" cy="1146175"/>
                <wp:effectExtent l="25400" t="12700" r="28575" b="9525"/>
                <wp:wrapTight wrapText="bothSides">
                  <wp:wrapPolygon edited="1">
                    <wp:start x="0" y="-27199"/>
                    <wp:lineTo x="4403" y="-239"/>
                    <wp:lineTo x="4403" y="3590"/>
                    <wp:lineTo x="3302" y="3590"/>
                    <wp:lineTo x="3302" y="7419"/>
                    <wp:lineTo x="2201" y="7419"/>
                    <wp:lineTo x="2201" y="11249"/>
                    <wp:lineTo x="1101" y="11249"/>
                    <wp:lineTo x="1101" y="15078"/>
                    <wp:lineTo x="0" y="15078"/>
                    <wp:lineTo x="-367" y="21540"/>
                    <wp:lineTo x="21829" y="21540"/>
                    <wp:lineTo x="21462" y="19147"/>
                    <wp:lineTo x="16143" y="-239"/>
                    <wp:lineTo x="0" y="-27199"/>
                  </wp:wrapPolygon>
                </wp:wrapTight>
                <wp:docPr id="51" name="Trapezoid 51"/>
                <wp:cNvGraphicFramePr/>
                <a:graphic xmlns:a="http://schemas.openxmlformats.org/drawingml/2006/main">
                  <a:graphicData uri="http://schemas.microsoft.com/office/word/2010/wordprocessingShape">
                    <wps:wsp>
                      <wps:cNvSpPr/>
                      <wps:spPr>
                        <a:xfrm>
                          <a:off x="0" y="0"/>
                          <a:ext cx="1495425" cy="1146175"/>
                        </a:xfrm>
                        <a:prstGeom prst="trapezoid">
                          <a:avLst>
                            <a:gd name="adj" fmla="val 36295"/>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DBA55" id="Trapezoid 51" o:spid="_x0000_s1026" style="position:absolute;margin-left:44.95pt;margin-top:361.6pt;width:117.75pt;height:9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5425,1146175" wrapcoords="0 -1443278 304831 -12682 304831 190499 228606 190499 228606 393679 152381 393679 152381 596913 76225 596913 76225 800094 0 800094 -25408 1142991 1511279 1142991 1485871 1016010 1117622 -12682 0 -14432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" path="m,1146175l416004,r663417,l1495425,1146175,,1146175xe" filled="f" strokecolor="black [3213]" strokeweight="1.5pt">
                <v:stroke joinstyle="miter"/>
                <v:path arrowok="t" o:connecttype="custom" o:connectlocs="0,1146175;416004,0;1079421,0;1495425,1146175;0,1146175" o:connectangles="0,0,0,0,0"/>
                <w10:wrap type="tight"/>
              </v:shape>
            </w:pict>
          </mc:Fallback>
        </mc:AlternateContent>
      </w:r>
      <w:r w:rsidRPr="007B0318">
        <w:rPr>
          <w:noProof/>
          <w:lang w:val="en-CA" w:eastAsia="en-CA"/>
        </w:rPr>
        <mc:AlternateContent>
          <mc:Choice Requires="wps">
            <w:drawing>
              <wp:anchor distT="0" distB="0" distL="114300" distR="114300" simplePos="0" relativeHeight="251683840" behindDoc="0" locked="0" layoutInCell="1" allowOverlap="1" wp14:anchorId="322359E5" wp14:editId="113C7B2A">
                <wp:simplePos x="0" y="0"/>
                <wp:positionH relativeFrom="column">
                  <wp:posOffset>1266536</wp:posOffset>
                </wp:positionH>
                <wp:positionV relativeFrom="paragraph">
                  <wp:posOffset>1005493</wp:posOffset>
                </wp:positionV>
                <wp:extent cx="0" cy="332509"/>
                <wp:effectExtent l="12700" t="0" r="25400" b="36195"/>
                <wp:wrapNone/>
                <wp:docPr id="52" name="Straight Connector 52"/>
                <wp:cNvGraphicFramePr/>
                <a:graphic xmlns:a="http://schemas.openxmlformats.org/drawingml/2006/main">
                  <a:graphicData uri="http://schemas.microsoft.com/office/word/2010/wordprocessingShape">
                    <wps:wsp>
                      <wps:cNvCnPr/>
                      <wps:spPr>
                        <a:xfrm>
                          <a:off x="0" y="0"/>
                          <a:ext cx="0" cy="332509"/>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F104D" id="Straight Connector 5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5pt,79.15pt" to="99.75pt,10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" strokecolor="black [3213]" strokeweight="3pt">
                <v:stroke joinstyle="miter"/>
              </v:line>
            </w:pict>
          </mc:Fallback>
        </mc:AlternateContent>
      </w:r>
      <w:r w:rsidRPr="007B0318">
        <w:rPr>
          <w:noProof/>
          <w:lang w:val="en-CA" w:eastAsia="en-CA"/>
        </w:rPr>
        <mc:AlternateContent>
          <mc:Choice Requires="wps">
            <w:drawing>
              <wp:anchor distT="0" distB="0" distL="114300" distR="114300" simplePos="0" relativeHeight="251678720" behindDoc="0" locked="0" layoutInCell="1" allowOverlap="1" wp14:anchorId="584DACFC" wp14:editId="36F21843">
                <wp:simplePos x="0" y="0"/>
                <wp:positionH relativeFrom="margin">
                  <wp:posOffset>1197264</wp:posOffset>
                </wp:positionH>
                <wp:positionV relativeFrom="paragraph">
                  <wp:posOffset>2238548</wp:posOffset>
                </wp:positionV>
                <wp:extent cx="0" cy="577850"/>
                <wp:effectExtent l="12700" t="0" r="12700" b="19050"/>
                <wp:wrapNone/>
                <wp:docPr id="18" name="Straight Connector 18"/>
                <wp:cNvGraphicFramePr/>
                <a:graphic xmlns:a="http://schemas.openxmlformats.org/drawingml/2006/main">
                  <a:graphicData uri="http://schemas.microsoft.com/office/word/2010/wordprocessingShape">
                    <wps:wsp>
                      <wps:cNvCnPr/>
                      <wps:spPr>
                        <a:xfrm flipH="1">
                          <a:off x="0" y="0"/>
                          <a:ext cx="0" cy="577850"/>
                        </a:xfrm>
                        <a:prstGeom prst="line">
                          <a:avLst/>
                        </a:prstGeom>
                        <a:ln w="190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70B1E" id="Straight Connector 18" o:spid="_x0000_s1026" style="position:absolute;flip:x;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4.25pt,176.25pt" to="94.25pt,22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" strokecolor="black [3213]" strokeweight="1.5pt">
                <v:stroke dashstyle="longDash" joinstyle="miter"/>
                <w10:wrap anchorx="margin"/>
              </v:line>
            </w:pict>
          </mc:Fallback>
        </mc:AlternateContent>
      </w:r>
      <w:r w:rsidRPr="007B0318">
        <w:rPr>
          <w:noProof/>
          <w:lang w:val="en-CA" w:eastAsia="en-CA"/>
        </w:rPr>
        <mc:AlternateContent>
          <mc:Choice Requires="wps">
            <w:drawing>
              <wp:anchor distT="0" distB="0" distL="114300" distR="114300" simplePos="0" relativeHeight="251679744" behindDoc="0" locked="0" layoutInCell="1" allowOverlap="1" wp14:anchorId="00999E95" wp14:editId="20655E3F">
                <wp:simplePos x="0" y="0"/>
                <wp:positionH relativeFrom="column">
                  <wp:posOffset>1418936</wp:posOffset>
                </wp:positionH>
                <wp:positionV relativeFrom="paragraph">
                  <wp:posOffset>2238434</wp:posOffset>
                </wp:positionV>
                <wp:extent cx="8255" cy="568556"/>
                <wp:effectExtent l="12700" t="0" r="29845" b="28575"/>
                <wp:wrapNone/>
                <wp:docPr id="19" name="Straight Connector 19"/>
                <wp:cNvGraphicFramePr/>
                <a:graphic xmlns:a="http://schemas.openxmlformats.org/drawingml/2006/main">
                  <a:graphicData uri="http://schemas.microsoft.com/office/word/2010/wordprocessingShape">
                    <wps:wsp>
                      <wps:cNvCnPr/>
                      <wps:spPr>
                        <a:xfrm>
                          <a:off x="0" y="0"/>
                          <a:ext cx="8255" cy="56855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2C448" id="Straight Connector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5pt,176.25pt" to="112.4pt,2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" strokecolor="black [3213]" strokeweight="3pt">
                <v:stroke joinstyle="miter"/>
              </v:line>
            </w:pict>
          </mc:Fallback>
        </mc:AlternateContent>
      </w:r>
      <w:r w:rsidRPr="007B0318">
        <w:rPr>
          <w:noProof/>
          <w:lang w:val="en-CA" w:eastAsia="en-CA"/>
        </w:rPr>
        <mc:AlternateContent>
          <mc:Choice Requires="wps">
            <w:drawing>
              <wp:anchor distT="0" distB="0" distL="114300" distR="114300" simplePos="0" relativeHeight="251680768" behindDoc="0" locked="0" layoutInCell="1" allowOverlap="1" wp14:anchorId="6BDD5F7E" wp14:editId="26A54A7E">
                <wp:simplePos x="0" y="0"/>
                <wp:positionH relativeFrom="column">
                  <wp:posOffset>1427018</wp:posOffset>
                </wp:positionH>
                <wp:positionV relativeFrom="paragraph">
                  <wp:posOffset>2238433</wp:posOffset>
                </wp:positionV>
                <wp:extent cx="1872038" cy="578081"/>
                <wp:effectExtent l="0" t="12700" r="33020" b="31750"/>
                <wp:wrapNone/>
                <wp:docPr id="20" name="Straight Connector 20"/>
                <wp:cNvGraphicFramePr/>
                <a:graphic xmlns:a="http://schemas.openxmlformats.org/drawingml/2006/main">
                  <a:graphicData uri="http://schemas.microsoft.com/office/word/2010/wordprocessingShape">
                    <wps:wsp>
                      <wps:cNvCnPr/>
                      <wps:spPr>
                        <a:xfrm>
                          <a:off x="0" y="0"/>
                          <a:ext cx="1872038" cy="57808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0089B" id="Straight Connector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35pt,176.25pt" to="259.75pt,22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" strokecolor="black [3213]" strokeweight="3pt">
                <v:stroke joinstyle="miter"/>
              </v:line>
            </w:pict>
          </mc:Fallback>
        </mc:AlternateContent>
      </w:r>
      <w:r w:rsidRPr="007B0318">
        <w:rPr>
          <w:noProof/>
          <w:lang w:val="en-CA" w:eastAsia="en-CA"/>
        </w:rPr>
        <mc:AlternateContent>
          <mc:Choice Requires="wps">
            <w:drawing>
              <wp:anchor distT="45720" distB="45720" distL="114300" distR="114300" simplePos="0" relativeHeight="251684864" behindDoc="0" locked="0" layoutInCell="1" allowOverlap="1" wp14:anchorId="2E277A3F" wp14:editId="3B899EC0">
                <wp:simplePos x="0" y="0"/>
                <wp:positionH relativeFrom="column">
                  <wp:posOffset>2901315</wp:posOffset>
                </wp:positionH>
                <wp:positionV relativeFrom="paragraph">
                  <wp:posOffset>214630</wp:posOffset>
                </wp:positionV>
                <wp:extent cx="1118235" cy="792480"/>
                <wp:effectExtent l="12700" t="12700" r="12065" b="762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792480"/>
                        </a:xfrm>
                        <a:prstGeom prst="rect">
                          <a:avLst/>
                        </a:prstGeom>
                        <a:solidFill>
                          <a:srgbClr val="FFFFFF"/>
                        </a:solidFill>
                        <a:ln w="19050">
                          <a:solidFill>
                            <a:srgbClr val="000000"/>
                          </a:solidFill>
                          <a:miter lim="800000"/>
                          <a:headEnd/>
                          <a:tailEnd/>
                        </a:ln>
                      </wps:spPr>
                      <wps:txbx>
                        <w:txbxContent>
                          <w:p w14:paraId="64CDDABA" w14:textId="77777777" w:rsidR="00315077" w:rsidRPr="007B0318" w:rsidRDefault="00315077" w:rsidP="008E0CD3">
                            <w:pPr>
                              <w:jc w:val="center"/>
                            </w:pPr>
                            <w:r w:rsidRPr="007B0318">
                              <w:t xml:space="preserve">Central Organization Department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277A3F" id="_x0000_t202" coordsize="21600,21600" o:spt="202" path="m,l,21600r21600,l21600,xe">
                <v:stroke joinstyle="miter"/>
                <v:path gradientshapeok="t" o:connecttype="rect"/>
              </v:shapetype>
              <v:shape id="Text Box 2" o:spid="_x0000_s1026" type="#_x0000_t202" style="position:absolute;margin-left:228.45pt;margin-top:16.9pt;width:88.05pt;height:62.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" strokeweight="1.5pt">
                <v:textbox>
                  <w:txbxContent>
                    <w:p w14:paraId="64CDDABA" w14:textId="77777777" w:rsidR="00315077" w:rsidRPr="007B0318" w:rsidRDefault="00315077" w:rsidP="008E0CD3">
                      <w:pPr>
                        <w:jc w:val="center"/>
                      </w:pPr>
                      <w:r w:rsidRPr="007B0318">
                        <w:t xml:space="preserve">Central Organization Department </w:t>
                      </w:r>
                    </w:p>
                  </w:txbxContent>
                </v:textbox>
                <w10:wrap type="square"/>
              </v:shape>
            </w:pict>
          </mc:Fallback>
        </mc:AlternateContent>
      </w:r>
      <w:r w:rsidRPr="007B0318">
        <w:rPr>
          <w:noProof/>
          <w:lang w:val="en-CA" w:eastAsia="en-CA"/>
        </w:rPr>
        <mc:AlternateContent>
          <mc:Choice Requires="wps">
            <w:drawing>
              <wp:anchor distT="0" distB="0" distL="114300" distR="114300" simplePos="0" relativeHeight="251677696" behindDoc="0" locked="0" layoutInCell="1" allowOverlap="1" wp14:anchorId="299BF9C1" wp14:editId="5FC917F6">
                <wp:simplePos x="0" y="0"/>
                <wp:positionH relativeFrom="margin">
                  <wp:posOffset>3446318</wp:posOffset>
                </wp:positionH>
                <wp:positionV relativeFrom="paragraph">
                  <wp:posOffset>1033204</wp:posOffset>
                </wp:positionV>
                <wp:extent cx="3464" cy="1775864"/>
                <wp:effectExtent l="12700" t="12700" r="22225" b="15240"/>
                <wp:wrapNone/>
                <wp:docPr id="17" name="Straight Connector 17"/>
                <wp:cNvGraphicFramePr/>
                <a:graphic xmlns:a="http://schemas.openxmlformats.org/drawingml/2006/main">
                  <a:graphicData uri="http://schemas.microsoft.com/office/word/2010/wordprocessingShape">
                    <wps:wsp>
                      <wps:cNvCnPr/>
                      <wps:spPr>
                        <a:xfrm>
                          <a:off x="0" y="0"/>
                          <a:ext cx="3464" cy="1775864"/>
                        </a:xfrm>
                        <a:prstGeom prst="line">
                          <a:avLst/>
                        </a:prstGeom>
                        <a:ln w="190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AC5F4" id="Straight Connector 17"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1.35pt,81.35pt" to="271.6pt,22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" strokecolor="black [3213]" strokeweight="1.5pt">
                <v:stroke dashstyle="longDash" joinstyle="miter"/>
                <w10:wrap anchorx="margin"/>
              </v:line>
            </w:pict>
          </mc:Fallback>
        </mc:AlternateContent>
      </w:r>
      <w:r w:rsidRPr="007B0318">
        <w:rPr>
          <w:noProof/>
          <w:lang w:val="en-CA" w:eastAsia="en-CA"/>
        </w:rPr>
        <mc:AlternateContent>
          <mc:Choice Requires="wps">
            <w:drawing>
              <wp:anchor distT="0" distB="0" distL="114300" distR="114300" simplePos="0" relativeHeight="251663360" behindDoc="0" locked="0" layoutInCell="1" allowOverlap="1" wp14:anchorId="40A910B5" wp14:editId="30F2CF83">
                <wp:simplePos x="0" y="0"/>
                <wp:positionH relativeFrom="column">
                  <wp:posOffset>2686050</wp:posOffset>
                </wp:positionH>
                <wp:positionV relativeFrom="paragraph">
                  <wp:posOffset>4604385</wp:posOffset>
                </wp:positionV>
                <wp:extent cx="1495425" cy="1146175"/>
                <wp:effectExtent l="19050" t="0" r="47625" b="15875"/>
                <wp:wrapNone/>
                <wp:docPr id="53" name="Trapezoid 53"/>
                <wp:cNvGraphicFramePr/>
                <a:graphic xmlns:a="http://schemas.openxmlformats.org/drawingml/2006/main">
                  <a:graphicData uri="http://schemas.microsoft.com/office/word/2010/wordprocessingShape">
                    <wps:wsp>
                      <wps:cNvSpPr/>
                      <wps:spPr>
                        <a:xfrm>
                          <a:off x="0" y="0"/>
                          <a:ext cx="1495425" cy="1146175"/>
                        </a:xfrm>
                        <a:prstGeom prst="trapezoid">
                          <a:avLst>
                            <a:gd name="adj" fmla="val 36295"/>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146CB" id="Trapezoid 53" o:spid="_x0000_s1026" style="position:absolute;margin-left:211.5pt;margin-top:362.55pt;width:117.75pt;height:9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5425,1146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" path="m,1146175l416004,r663417,l1495425,1146175,,1146175xe" filled="f" strokecolor="black [3213]" strokeweight="1.5pt">
                <v:stroke joinstyle="miter"/>
                <v:path arrowok="t" o:connecttype="custom" o:connectlocs="0,1146175;416004,0;1079421,0;1495425,1146175;0,1146175" o:connectangles="0,0,0,0,0"/>
              </v:shape>
            </w:pict>
          </mc:Fallback>
        </mc:AlternateContent>
      </w:r>
      <w:r w:rsidRPr="007B0318">
        <w:rPr>
          <w:noProof/>
          <w:lang w:val="en-CA" w:eastAsia="en-CA"/>
        </w:rPr>
        <mc:AlternateContent>
          <mc:Choice Requires="wps">
            <w:drawing>
              <wp:anchor distT="45720" distB="45720" distL="114300" distR="114300" simplePos="0" relativeHeight="251669504" behindDoc="0" locked="0" layoutInCell="1" allowOverlap="1" wp14:anchorId="6E0FB3AC" wp14:editId="6B6CBA94">
                <wp:simplePos x="0" y="0"/>
                <wp:positionH relativeFrom="margin">
                  <wp:posOffset>718820</wp:posOffset>
                </wp:positionH>
                <wp:positionV relativeFrom="paragraph">
                  <wp:posOffset>5732780</wp:posOffset>
                </wp:positionV>
                <wp:extent cx="1173480" cy="600075"/>
                <wp:effectExtent l="0" t="0" r="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600075"/>
                        </a:xfrm>
                        <a:prstGeom prst="rect">
                          <a:avLst/>
                        </a:prstGeom>
                        <a:noFill/>
                        <a:ln w="9525">
                          <a:noFill/>
                          <a:miter lim="800000"/>
                          <a:headEnd/>
                          <a:tailEnd/>
                        </a:ln>
                      </wps:spPr>
                      <wps:txbx>
                        <w:txbxContent>
                          <w:p w14:paraId="484CF48D" w14:textId="77777777" w:rsidR="00315077" w:rsidRPr="007B0318" w:rsidRDefault="00315077" w:rsidP="008E0CD3">
                            <w:pPr>
                              <w:jc w:val="center"/>
                            </w:pPr>
                            <w:r w:rsidRPr="007B0318">
                              <w:t>Non-Core Central SOE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0FB3AC" id="_x0000_s1027" type="#_x0000_t202" style="position:absolute;margin-left:56.6pt;margin-top:451.4pt;width:92.4pt;height:47.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" filled="f" stroked="f">
                <v:textbox>
                  <w:txbxContent>
                    <w:p w14:paraId="484CF48D" w14:textId="77777777" w:rsidR="00315077" w:rsidRPr="007B0318" w:rsidRDefault="00315077" w:rsidP="008E0CD3">
                      <w:pPr>
                        <w:jc w:val="center"/>
                      </w:pPr>
                      <w:r w:rsidRPr="007B0318">
                        <w:t>Non-Core Central SOE</w:t>
                      </w:r>
                    </w:p>
                  </w:txbxContent>
                </v:textbox>
                <w10:wrap type="square" anchorx="margin"/>
              </v:shape>
            </w:pict>
          </mc:Fallback>
        </mc:AlternateContent>
      </w:r>
      <w:r w:rsidRPr="007B0318">
        <w:rPr>
          <w:noProof/>
          <w:lang w:val="en-CA" w:eastAsia="en-CA"/>
        </w:rPr>
        <mc:AlternateContent>
          <mc:Choice Requires="wps">
            <w:drawing>
              <wp:anchor distT="45720" distB="45720" distL="114300" distR="114300" simplePos="0" relativeHeight="251670528" behindDoc="0" locked="0" layoutInCell="1" allowOverlap="1" wp14:anchorId="453EAB96" wp14:editId="10498205">
                <wp:simplePos x="0" y="0"/>
                <wp:positionH relativeFrom="margin">
                  <wp:posOffset>2852420</wp:posOffset>
                </wp:positionH>
                <wp:positionV relativeFrom="paragraph">
                  <wp:posOffset>5717540</wp:posOffset>
                </wp:positionV>
                <wp:extent cx="1173480" cy="600075"/>
                <wp:effectExtent l="0" t="0" r="0" b="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600075"/>
                        </a:xfrm>
                        <a:prstGeom prst="rect">
                          <a:avLst/>
                        </a:prstGeom>
                        <a:noFill/>
                        <a:ln w="9525">
                          <a:noFill/>
                          <a:miter lim="800000"/>
                          <a:headEnd/>
                          <a:tailEnd/>
                        </a:ln>
                      </wps:spPr>
                      <wps:txbx>
                        <w:txbxContent>
                          <w:p w14:paraId="4B4E9D0A" w14:textId="77777777" w:rsidR="00315077" w:rsidRPr="007B0318" w:rsidRDefault="00315077" w:rsidP="008E0CD3">
                            <w:pPr>
                              <w:jc w:val="center"/>
                            </w:pPr>
                            <w:r w:rsidRPr="007B0318">
                              <w:t xml:space="preserve">Core </w:t>
                            </w:r>
                            <w:r w:rsidRPr="007B0318">
                              <w:br/>
                              <w:t>Central SOE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3EAB96" id="_x0000_s1028" type="#_x0000_t202" style="position:absolute;margin-left:224.6pt;margin-top:450.2pt;width:92.4pt;height:47.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" filled="f" stroked="f">
                <v:textbox>
                  <w:txbxContent>
                    <w:p w14:paraId="4B4E9D0A" w14:textId="77777777" w:rsidR="00315077" w:rsidRPr="007B0318" w:rsidRDefault="00315077" w:rsidP="008E0CD3">
                      <w:pPr>
                        <w:jc w:val="center"/>
                      </w:pPr>
                      <w:r w:rsidRPr="007B0318">
                        <w:t xml:space="preserve">Core </w:t>
                      </w:r>
                      <w:r w:rsidRPr="007B0318">
                        <w:br/>
                        <w:t>Central SOE</w:t>
                      </w:r>
                    </w:p>
                  </w:txbxContent>
                </v:textbox>
                <w10:wrap type="square" anchorx="margin"/>
              </v:shape>
            </w:pict>
          </mc:Fallback>
        </mc:AlternateContent>
      </w:r>
      <w:r w:rsidRPr="007B0318">
        <w:rPr>
          <w:noProof/>
          <w:lang w:val="en-CA" w:eastAsia="en-CA"/>
        </w:rPr>
        <mc:AlternateContent>
          <mc:Choice Requires="wps">
            <w:drawing>
              <wp:anchor distT="0" distB="0" distL="114300" distR="114300" simplePos="0" relativeHeight="251666432" behindDoc="0" locked="0" layoutInCell="1" allowOverlap="1" wp14:anchorId="6F0DBC33" wp14:editId="7CF9EE2E">
                <wp:simplePos x="0" y="0"/>
                <wp:positionH relativeFrom="column">
                  <wp:posOffset>4377055</wp:posOffset>
                </wp:positionH>
                <wp:positionV relativeFrom="paragraph">
                  <wp:posOffset>4591685</wp:posOffset>
                </wp:positionV>
                <wp:extent cx="313055" cy="1153795"/>
                <wp:effectExtent l="0" t="0" r="29845" b="27305"/>
                <wp:wrapNone/>
                <wp:docPr id="56" name="Right Brace 56"/>
                <wp:cNvGraphicFramePr/>
                <a:graphic xmlns:a="http://schemas.openxmlformats.org/drawingml/2006/main">
                  <a:graphicData uri="http://schemas.microsoft.com/office/word/2010/wordprocessingShape">
                    <wps:wsp>
                      <wps:cNvSpPr/>
                      <wps:spPr>
                        <a:xfrm>
                          <a:off x="0" y="0"/>
                          <a:ext cx="313055" cy="1153795"/>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D3BE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6" o:spid="_x0000_s1026" type="#_x0000_t88" style="position:absolute;margin-left:344.65pt;margin-top:361.55pt;width:24.65pt;height:9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" adj="488" strokecolor="black [3213]" strokeweight="1.5pt">
                <v:stroke joinstyle="miter"/>
              </v:shape>
            </w:pict>
          </mc:Fallback>
        </mc:AlternateContent>
      </w:r>
      <w:r w:rsidRPr="007B0318">
        <w:rPr>
          <w:noProof/>
          <w:lang w:val="en-CA" w:eastAsia="en-CA"/>
        </w:rPr>
        <mc:AlternateContent>
          <mc:Choice Requires="wps">
            <w:drawing>
              <wp:anchor distT="45720" distB="45720" distL="114300" distR="114300" simplePos="0" relativeHeight="251668480" behindDoc="0" locked="0" layoutInCell="1" allowOverlap="1" wp14:anchorId="1B334C14" wp14:editId="19FA6E5D">
                <wp:simplePos x="0" y="0"/>
                <wp:positionH relativeFrom="margin">
                  <wp:posOffset>4814570</wp:posOffset>
                </wp:positionH>
                <wp:positionV relativeFrom="paragraph">
                  <wp:posOffset>4882515</wp:posOffset>
                </wp:positionV>
                <wp:extent cx="818515" cy="60007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600075"/>
                        </a:xfrm>
                        <a:prstGeom prst="rect">
                          <a:avLst/>
                        </a:prstGeom>
                        <a:noFill/>
                        <a:ln w="9525">
                          <a:noFill/>
                          <a:miter lim="800000"/>
                          <a:headEnd/>
                          <a:tailEnd/>
                        </a:ln>
                      </wps:spPr>
                      <wps:txbx>
                        <w:txbxContent>
                          <w:p w14:paraId="21EB5DFA" w14:textId="77777777" w:rsidR="00315077" w:rsidRPr="007B0318" w:rsidRDefault="00315077" w:rsidP="008E0CD3">
                            <w:r w:rsidRPr="007B0318">
                              <w:t>Member Entities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334C14" id="_x0000_s1029" type="#_x0000_t202" style="position:absolute;margin-left:379.1pt;margin-top:384.45pt;width:64.45pt;height:47.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" filled="f" stroked="f">
                <v:textbox>
                  <w:txbxContent>
                    <w:p w14:paraId="21EB5DFA" w14:textId="77777777" w:rsidR="00315077" w:rsidRPr="007B0318" w:rsidRDefault="00315077" w:rsidP="008E0CD3">
                      <w:r w:rsidRPr="007B0318">
                        <w:t>Member Entities</w:t>
                      </w:r>
                    </w:p>
                  </w:txbxContent>
                </v:textbox>
                <w10:wrap type="square" anchorx="margin"/>
              </v:shape>
            </w:pict>
          </mc:Fallback>
        </mc:AlternateContent>
      </w:r>
      <w:r w:rsidRPr="007B0318">
        <w:rPr>
          <w:noProof/>
          <w:lang w:val="en-CA" w:eastAsia="en-CA"/>
        </w:rPr>
        <mc:AlternateContent>
          <mc:Choice Requires="wps">
            <w:drawing>
              <wp:anchor distT="45720" distB="45720" distL="114300" distR="114300" simplePos="0" relativeHeight="251682816" behindDoc="0" locked="0" layoutInCell="1" allowOverlap="1" wp14:anchorId="3768AA1F" wp14:editId="455333EA">
                <wp:simplePos x="0" y="0"/>
                <wp:positionH relativeFrom="column">
                  <wp:posOffset>339090</wp:posOffset>
                </wp:positionH>
                <wp:positionV relativeFrom="paragraph">
                  <wp:posOffset>1334770</wp:posOffset>
                </wp:positionV>
                <wp:extent cx="1978660" cy="900430"/>
                <wp:effectExtent l="12700" t="12700" r="15240" b="1397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900430"/>
                        </a:xfrm>
                        <a:prstGeom prst="rect">
                          <a:avLst/>
                        </a:prstGeom>
                        <a:solidFill>
                          <a:srgbClr val="FFFFFF"/>
                        </a:solidFill>
                        <a:ln w="19050">
                          <a:solidFill>
                            <a:srgbClr val="000000"/>
                          </a:solidFill>
                          <a:miter lim="800000"/>
                          <a:headEnd/>
                          <a:tailEnd/>
                        </a:ln>
                      </wps:spPr>
                      <wps:txbx>
                        <w:txbxContent>
                          <w:p w14:paraId="5D811563" w14:textId="77777777" w:rsidR="00315077" w:rsidRPr="007B0318" w:rsidRDefault="00315077" w:rsidP="008E0CD3">
                            <w:pPr>
                              <w:jc w:val="center"/>
                            </w:pPr>
                            <w:r w:rsidRPr="007B0318">
                              <w:t>State-Owned Assets Supervision and Administration Commission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68AA1F" id="_x0000_s1030" type="#_x0000_t202" style="position:absolute;margin-left:26.7pt;margin-top:105.1pt;width:155.8pt;height:70.9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" strokeweight="1.5pt">
                <v:textbox>
                  <w:txbxContent>
                    <w:p w14:paraId="5D811563" w14:textId="77777777" w:rsidR="00315077" w:rsidRPr="007B0318" w:rsidRDefault="00315077" w:rsidP="008E0CD3">
                      <w:pPr>
                        <w:jc w:val="center"/>
                      </w:pPr>
                      <w:r w:rsidRPr="007B0318">
                        <w:t>State-Owned Assets Supervision and Administration Commission</w:t>
                      </w:r>
                    </w:p>
                  </w:txbxContent>
                </v:textbox>
                <w10:wrap type="topAndBottom"/>
              </v:shape>
            </w:pict>
          </mc:Fallback>
        </mc:AlternateContent>
      </w:r>
      <w:r w:rsidRPr="007B0318">
        <w:rPr>
          <w:noProof/>
          <w:lang w:val="en-CA" w:eastAsia="en-CA"/>
        </w:rPr>
        <mc:AlternateContent>
          <mc:Choice Requires="wps">
            <w:drawing>
              <wp:anchor distT="0" distB="0" distL="114300" distR="114300" simplePos="0" relativeHeight="251672576" behindDoc="0" locked="0" layoutInCell="1" allowOverlap="1" wp14:anchorId="23FB6AE1" wp14:editId="7F400F87">
                <wp:simplePos x="0" y="0"/>
                <wp:positionH relativeFrom="column">
                  <wp:posOffset>377190</wp:posOffset>
                </wp:positionH>
                <wp:positionV relativeFrom="paragraph">
                  <wp:posOffset>7058025</wp:posOffset>
                </wp:positionV>
                <wp:extent cx="990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990600" cy="0"/>
                        </a:xfrm>
                        <a:prstGeom prst="line">
                          <a:avLst/>
                        </a:prstGeom>
                        <a:ln w="190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B8D81B"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9.7pt,555.75pt" to="107.7pt,55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" strokecolor="black [3213]" strokeweight="1.5pt">
                <v:stroke dashstyle="longDash" joinstyle="miter"/>
              </v:line>
            </w:pict>
          </mc:Fallback>
        </mc:AlternateContent>
      </w:r>
      <w:r w:rsidRPr="007B0318">
        <w:rPr>
          <w:noProof/>
          <w:lang w:val="en-CA" w:eastAsia="en-CA"/>
        </w:rPr>
        <mc:AlternateContent>
          <mc:Choice Requires="wps">
            <w:drawing>
              <wp:anchor distT="45720" distB="45720" distL="114300" distR="114300" simplePos="0" relativeHeight="251674624" behindDoc="0" locked="0" layoutInCell="1" allowOverlap="1" wp14:anchorId="57A0AD6C" wp14:editId="4A29D9FB">
                <wp:simplePos x="0" y="0"/>
                <wp:positionH relativeFrom="margin">
                  <wp:posOffset>1430020</wp:posOffset>
                </wp:positionH>
                <wp:positionV relativeFrom="paragraph">
                  <wp:posOffset>6879912</wp:posOffset>
                </wp:positionV>
                <wp:extent cx="2019300" cy="36766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67665"/>
                        </a:xfrm>
                        <a:prstGeom prst="rect">
                          <a:avLst/>
                        </a:prstGeom>
                        <a:noFill/>
                        <a:ln w="9525">
                          <a:noFill/>
                          <a:miter lim="800000"/>
                          <a:headEnd/>
                          <a:tailEnd/>
                        </a:ln>
                      </wps:spPr>
                      <wps:txbx>
                        <w:txbxContent>
                          <w:p w14:paraId="3C1E6170" w14:textId="77777777" w:rsidR="00315077" w:rsidRPr="007B0318" w:rsidRDefault="00315077" w:rsidP="008E0CD3">
                            <w:r w:rsidRPr="007B0318">
                              <w:t>Personnel Authority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A0AD6C" id="_x0000_s1031" type="#_x0000_t202" style="position:absolute;margin-left:112.6pt;margin-top:541.75pt;width:159pt;height:28.9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" filled="f" stroked="f">
                <v:textbox>
                  <w:txbxContent>
                    <w:p w14:paraId="3C1E6170" w14:textId="77777777" w:rsidR="00315077" w:rsidRPr="007B0318" w:rsidRDefault="00315077" w:rsidP="008E0CD3">
                      <w:r w:rsidRPr="007B0318">
                        <w:t>Personnel Authority</w:t>
                      </w:r>
                    </w:p>
                  </w:txbxContent>
                </v:textbox>
                <w10:wrap type="square" anchorx="margin"/>
              </v:shape>
            </w:pict>
          </mc:Fallback>
        </mc:AlternateContent>
      </w:r>
      <w:r w:rsidRPr="007B0318">
        <w:rPr>
          <w:noProof/>
          <w:lang w:val="en-CA" w:eastAsia="en-CA"/>
        </w:rPr>
        <mc:AlternateContent>
          <mc:Choice Requires="wps">
            <w:drawing>
              <wp:anchor distT="45720" distB="45720" distL="114300" distR="114300" simplePos="0" relativeHeight="251673600" behindDoc="0" locked="0" layoutInCell="1" allowOverlap="1" wp14:anchorId="429C528B" wp14:editId="0217689B">
                <wp:simplePos x="0" y="0"/>
                <wp:positionH relativeFrom="margin">
                  <wp:posOffset>1430020</wp:posOffset>
                </wp:positionH>
                <wp:positionV relativeFrom="paragraph">
                  <wp:posOffset>6661785</wp:posOffset>
                </wp:positionV>
                <wp:extent cx="2019300" cy="31305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3055"/>
                        </a:xfrm>
                        <a:prstGeom prst="rect">
                          <a:avLst/>
                        </a:prstGeom>
                        <a:noFill/>
                        <a:ln w="9525">
                          <a:noFill/>
                          <a:miter lim="800000"/>
                          <a:headEnd/>
                          <a:tailEnd/>
                        </a:ln>
                      </wps:spPr>
                      <wps:txbx>
                        <w:txbxContent>
                          <w:p w14:paraId="748CE3CB" w14:textId="77777777" w:rsidR="00315077" w:rsidRPr="007B0318" w:rsidRDefault="00315077" w:rsidP="008E0CD3">
                            <w:r w:rsidRPr="007B0318">
                              <w:t>Administrative Authority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9C528B" id="_x0000_s1032" type="#_x0000_t202" style="position:absolute;margin-left:112.6pt;margin-top:524.55pt;width:159pt;height:24.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" filled="f" stroked="f">
                <v:textbox>
                  <w:txbxContent>
                    <w:p w14:paraId="748CE3CB" w14:textId="77777777" w:rsidR="00315077" w:rsidRPr="007B0318" w:rsidRDefault="00315077" w:rsidP="008E0CD3">
                      <w:r w:rsidRPr="007B0318">
                        <w:t>Administrative Authority</w:t>
                      </w:r>
                    </w:p>
                  </w:txbxContent>
                </v:textbox>
                <w10:wrap type="square" anchorx="margin"/>
              </v:shape>
            </w:pict>
          </mc:Fallback>
        </mc:AlternateContent>
      </w:r>
      <w:r w:rsidRPr="007B0318">
        <w:rPr>
          <w:noProof/>
          <w:lang w:val="en-CA" w:eastAsia="en-CA"/>
        </w:rPr>
        <mc:AlternateContent>
          <mc:Choice Requires="wps">
            <w:drawing>
              <wp:anchor distT="0" distB="0" distL="114300" distR="114300" simplePos="0" relativeHeight="251671552" behindDoc="0" locked="0" layoutInCell="1" allowOverlap="1" wp14:anchorId="5714A812" wp14:editId="4E80A95C">
                <wp:simplePos x="0" y="0"/>
                <wp:positionH relativeFrom="column">
                  <wp:posOffset>384175</wp:posOffset>
                </wp:positionH>
                <wp:positionV relativeFrom="paragraph">
                  <wp:posOffset>6815777</wp:posOffset>
                </wp:positionV>
                <wp:extent cx="990600" cy="0"/>
                <wp:effectExtent l="0" t="19050" r="19050" b="19050"/>
                <wp:wrapNone/>
                <wp:docPr id="57" name="Straight Connector 57"/>
                <wp:cNvGraphicFramePr/>
                <a:graphic xmlns:a="http://schemas.openxmlformats.org/drawingml/2006/main">
                  <a:graphicData uri="http://schemas.microsoft.com/office/word/2010/wordprocessingShape">
                    <wps:wsp>
                      <wps:cNvCnPr/>
                      <wps:spPr>
                        <a:xfrm>
                          <a:off x="0" y="0"/>
                          <a:ext cx="9906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C52888" id="Straight Connector 5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0.25pt,536.7pt" to="108.25pt,53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" strokecolor="black [3213]" strokeweight="3pt">
                <v:stroke joinstyle="miter"/>
              </v:line>
            </w:pict>
          </mc:Fallback>
        </mc:AlternateContent>
      </w:r>
      <w:r w:rsidRPr="007B0318">
        <w:rPr>
          <w:noProof/>
          <w:lang w:val="en-CA" w:eastAsia="en-CA"/>
        </w:rPr>
        <mc:AlternateContent>
          <mc:Choice Requires="wps">
            <w:drawing>
              <wp:anchor distT="45720" distB="45720" distL="114300" distR="114300" simplePos="0" relativeHeight="251667456" behindDoc="0" locked="0" layoutInCell="1" allowOverlap="1" wp14:anchorId="38EE11B4" wp14:editId="2029F3B8">
                <wp:simplePos x="0" y="0"/>
                <wp:positionH relativeFrom="margin">
                  <wp:posOffset>4817745</wp:posOffset>
                </wp:positionH>
                <wp:positionV relativeFrom="paragraph">
                  <wp:posOffset>3762375</wp:posOffset>
                </wp:positionV>
                <wp:extent cx="818515" cy="600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600075"/>
                        </a:xfrm>
                        <a:prstGeom prst="rect">
                          <a:avLst/>
                        </a:prstGeom>
                        <a:noFill/>
                        <a:ln w="9525">
                          <a:noFill/>
                          <a:miter lim="800000"/>
                          <a:headEnd/>
                          <a:tailEnd/>
                        </a:ln>
                      </wps:spPr>
                      <wps:txbx>
                        <w:txbxContent>
                          <w:p w14:paraId="5C0BE858" w14:textId="77777777" w:rsidR="00315077" w:rsidRPr="007B0318" w:rsidRDefault="00315077" w:rsidP="008E0CD3">
                            <w:r w:rsidRPr="007B0318">
                              <w:t>Holding Company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EE11B4" id="_x0000_s1033" type="#_x0000_t202" style="position:absolute;margin-left:379.35pt;margin-top:296.25pt;width:64.45pt;height:47.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" filled="f" stroked="f">
                <v:textbox>
                  <w:txbxContent>
                    <w:p w14:paraId="5C0BE858" w14:textId="77777777" w:rsidR="00315077" w:rsidRPr="007B0318" w:rsidRDefault="00315077" w:rsidP="008E0CD3">
                      <w:r w:rsidRPr="007B0318">
                        <w:t>Holding Company</w:t>
                      </w:r>
                    </w:p>
                  </w:txbxContent>
                </v:textbox>
                <w10:wrap type="square" anchorx="margin"/>
              </v:shape>
            </w:pict>
          </mc:Fallback>
        </mc:AlternateContent>
      </w:r>
      <w:r w:rsidRPr="007B0318">
        <w:rPr>
          <w:noProof/>
          <w:lang w:val="en-CA" w:eastAsia="en-CA"/>
        </w:rPr>
        <mc:AlternateContent>
          <mc:Choice Requires="wps">
            <w:drawing>
              <wp:anchor distT="0" distB="0" distL="114300" distR="114300" simplePos="0" relativeHeight="251665408" behindDoc="0" locked="0" layoutInCell="1" allowOverlap="1" wp14:anchorId="04779EB5" wp14:editId="7C103674">
                <wp:simplePos x="0" y="0"/>
                <wp:positionH relativeFrom="column">
                  <wp:posOffset>4356100</wp:posOffset>
                </wp:positionH>
                <wp:positionV relativeFrom="paragraph">
                  <wp:posOffset>3658870</wp:posOffset>
                </wp:positionV>
                <wp:extent cx="327025" cy="799465"/>
                <wp:effectExtent l="0" t="0" r="34925" b="19685"/>
                <wp:wrapNone/>
                <wp:docPr id="58" name="Right Brace 58"/>
                <wp:cNvGraphicFramePr/>
                <a:graphic xmlns:a="http://schemas.openxmlformats.org/drawingml/2006/main">
                  <a:graphicData uri="http://schemas.microsoft.com/office/word/2010/wordprocessingShape">
                    <wps:wsp>
                      <wps:cNvSpPr/>
                      <wps:spPr>
                        <a:xfrm>
                          <a:off x="0" y="0"/>
                          <a:ext cx="327025" cy="799465"/>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D9EE80" id="Right Brace 58" o:spid="_x0000_s1026" type="#_x0000_t88" style="position:absolute;margin-left:343pt;margin-top:288.1pt;width:25.75pt;height:62.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" adj="736" strokecolor="black [3213]" strokeweight="1.5pt">
                <v:stroke joinstyle="miter"/>
              </v:shape>
            </w:pict>
          </mc:Fallback>
        </mc:AlternateContent>
      </w:r>
      <w:r w:rsidRPr="007B0318">
        <w:rPr>
          <w:noProof/>
          <w:lang w:val="en-CA" w:eastAsia="en-CA"/>
        </w:rPr>
        <mc:AlternateContent>
          <mc:Choice Requires="wps">
            <w:drawing>
              <wp:anchor distT="45720" distB="45720" distL="114300" distR="114300" simplePos="0" relativeHeight="251681792" behindDoc="0" locked="0" layoutInCell="1" allowOverlap="1" wp14:anchorId="150602E5" wp14:editId="22A9BD52">
                <wp:simplePos x="0" y="0"/>
                <wp:positionH relativeFrom="column">
                  <wp:posOffset>844550</wp:posOffset>
                </wp:positionH>
                <wp:positionV relativeFrom="paragraph">
                  <wp:posOffset>246702</wp:posOffset>
                </wp:positionV>
                <wp:extent cx="887095" cy="763905"/>
                <wp:effectExtent l="0" t="0" r="27305" b="1714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763905"/>
                        </a:xfrm>
                        <a:prstGeom prst="rect">
                          <a:avLst/>
                        </a:prstGeom>
                        <a:solidFill>
                          <a:srgbClr val="FFFFFF"/>
                        </a:solidFill>
                        <a:ln w="19050">
                          <a:solidFill>
                            <a:srgbClr val="000000"/>
                          </a:solidFill>
                          <a:miter lim="800000"/>
                          <a:headEnd/>
                          <a:tailEnd/>
                        </a:ln>
                      </wps:spPr>
                      <wps:txbx>
                        <w:txbxContent>
                          <w:p w14:paraId="4FDD4CB6" w14:textId="77777777" w:rsidR="00315077" w:rsidRPr="007B0318" w:rsidRDefault="00315077" w:rsidP="008E0CD3">
                            <w:pPr>
                              <w:jc w:val="center"/>
                            </w:pPr>
                            <w:r w:rsidRPr="007B0318">
                              <w:t>State Council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0602E5" id="_x0000_s1034" type="#_x0000_t202" style="position:absolute;margin-left:66.5pt;margin-top:19.45pt;width:69.85pt;height:60.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" strokeweight="1.5pt">
                <v:textbox>
                  <w:txbxContent>
                    <w:p w14:paraId="4FDD4CB6" w14:textId="77777777" w:rsidR="00315077" w:rsidRPr="007B0318" w:rsidRDefault="00315077" w:rsidP="008E0CD3">
                      <w:pPr>
                        <w:jc w:val="center"/>
                      </w:pPr>
                      <w:r w:rsidRPr="007B0318">
                        <w:t>State Council</w:t>
                      </w:r>
                    </w:p>
                  </w:txbxContent>
                </v:textbox>
                <w10:wrap type="square"/>
              </v:shape>
            </w:pict>
          </mc:Fallback>
        </mc:AlternateContent>
      </w:r>
      <w:r w:rsidRPr="007B0318">
        <w:rPr>
          <w:noProof/>
          <w:lang w:val="en-CA" w:eastAsia="en-CA"/>
        </w:rPr>
        <w:drawing>
          <wp:anchor distT="0" distB="0" distL="114300" distR="114300" simplePos="0" relativeHeight="251676672" behindDoc="0" locked="0" layoutInCell="1" allowOverlap="1" wp14:anchorId="64D0BA1E" wp14:editId="36810E1B">
            <wp:simplePos x="0" y="0"/>
            <wp:positionH relativeFrom="column">
              <wp:posOffset>3118163</wp:posOffset>
            </wp:positionH>
            <wp:positionV relativeFrom="paragraph">
              <wp:posOffset>2908935</wp:posOffset>
            </wp:positionV>
            <wp:extent cx="649406" cy="649406"/>
            <wp:effectExtent l="0" t="0" r="0" b="0"/>
            <wp:wrapNone/>
            <wp:docPr id="16" name="Graphic 16"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n.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649406" cy="649406"/>
                    </a:xfrm>
                    <a:prstGeom prst="rect">
                      <a:avLst/>
                    </a:prstGeom>
                  </pic:spPr>
                </pic:pic>
              </a:graphicData>
            </a:graphic>
            <wp14:sizeRelH relativeFrom="margin">
              <wp14:pctWidth>0</wp14:pctWidth>
            </wp14:sizeRelH>
            <wp14:sizeRelV relativeFrom="margin">
              <wp14:pctHeight>0</wp14:pctHeight>
            </wp14:sizeRelV>
          </wp:anchor>
        </w:drawing>
      </w:r>
      <w:r w:rsidRPr="007B0318">
        <w:rPr>
          <w:noProof/>
          <w:lang w:val="en-CA" w:eastAsia="en-CA"/>
        </w:rPr>
        <w:drawing>
          <wp:anchor distT="0" distB="0" distL="114300" distR="114300" simplePos="0" relativeHeight="251675648" behindDoc="0" locked="0" layoutInCell="1" allowOverlap="1" wp14:anchorId="1006E94B" wp14:editId="7430A0A9">
            <wp:simplePos x="0" y="0"/>
            <wp:positionH relativeFrom="column">
              <wp:posOffset>979483</wp:posOffset>
            </wp:positionH>
            <wp:positionV relativeFrom="paragraph">
              <wp:posOffset>2908935</wp:posOffset>
            </wp:positionV>
            <wp:extent cx="649406" cy="649406"/>
            <wp:effectExtent l="0" t="0" r="0" b="0"/>
            <wp:wrapNone/>
            <wp:docPr id="15" name="Graphic 15"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n.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649406" cy="649406"/>
                    </a:xfrm>
                    <a:prstGeom prst="rect">
                      <a:avLst/>
                    </a:prstGeom>
                  </pic:spPr>
                </pic:pic>
              </a:graphicData>
            </a:graphic>
            <wp14:sizeRelH relativeFrom="margin">
              <wp14:pctWidth>0</wp14:pctWidth>
            </wp14:sizeRelH>
            <wp14:sizeRelV relativeFrom="margin">
              <wp14:pctHeight>0</wp14:pctHeight>
            </wp14:sizeRelV>
          </wp:anchor>
        </w:drawing>
      </w:r>
      <w:r w:rsidRPr="007B0318">
        <w:rPr>
          <w:noProof/>
          <w:lang w:val="en-CA" w:eastAsia="en-CA"/>
        </w:rPr>
        <mc:AlternateContent>
          <mc:Choice Requires="wps">
            <w:drawing>
              <wp:anchor distT="0" distB="0" distL="114300" distR="114300" simplePos="0" relativeHeight="251664384" behindDoc="0" locked="0" layoutInCell="1" allowOverlap="1" wp14:anchorId="08905900" wp14:editId="24B3142B">
                <wp:simplePos x="0" y="0"/>
                <wp:positionH relativeFrom="column">
                  <wp:posOffset>3125470</wp:posOffset>
                </wp:positionH>
                <wp:positionV relativeFrom="paragraph">
                  <wp:posOffset>3660140</wp:posOffset>
                </wp:positionV>
                <wp:extent cx="594995" cy="799465"/>
                <wp:effectExtent l="19050" t="19050" r="33655" b="19685"/>
                <wp:wrapNone/>
                <wp:docPr id="5" name="Isosceles Triangle 5"/>
                <wp:cNvGraphicFramePr/>
                <a:graphic xmlns:a="http://schemas.openxmlformats.org/drawingml/2006/main">
                  <a:graphicData uri="http://schemas.microsoft.com/office/word/2010/wordprocessingShape">
                    <wps:wsp>
                      <wps:cNvSpPr/>
                      <wps:spPr>
                        <a:xfrm>
                          <a:off x="0" y="0"/>
                          <a:ext cx="594995" cy="799465"/>
                        </a:xfrm>
                        <a:prstGeom prs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5A2D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246.1pt;margin-top:288.2pt;width:46.85pt;height:6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" filled="f" strokecolor="black [3213]" strokeweight="1.5pt"/>
            </w:pict>
          </mc:Fallback>
        </mc:AlternateContent>
      </w:r>
      <w:r w:rsidRPr="007B0318">
        <w:rPr>
          <w:noProof/>
          <w:lang w:val="en-CA" w:eastAsia="en-CA"/>
        </w:rPr>
        <mc:AlternateContent>
          <mc:Choice Requires="wps">
            <w:drawing>
              <wp:anchor distT="0" distB="0" distL="114300" distR="114300" simplePos="0" relativeHeight="251661312" behindDoc="0" locked="0" layoutInCell="1" allowOverlap="1" wp14:anchorId="05196DD2" wp14:editId="3B96CD9B">
                <wp:simplePos x="0" y="0"/>
                <wp:positionH relativeFrom="column">
                  <wp:posOffset>1008380</wp:posOffset>
                </wp:positionH>
                <wp:positionV relativeFrom="paragraph">
                  <wp:posOffset>3658870</wp:posOffset>
                </wp:positionV>
                <wp:extent cx="594995" cy="799465"/>
                <wp:effectExtent l="19050" t="19050" r="33655" b="19685"/>
                <wp:wrapNone/>
                <wp:docPr id="59" name="Isosceles Triangle 1"/>
                <wp:cNvGraphicFramePr/>
                <a:graphic xmlns:a="http://schemas.openxmlformats.org/drawingml/2006/main">
                  <a:graphicData uri="http://schemas.microsoft.com/office/word/2010/wordprocessingShape">
                    <wps:wsp>
                      <wps:cNvSpPr/>
                      <wps:spPr>
                        <a:xfrm>
                          <a:off x="0" y="0"/>
                          <a:ext cx="594995" cy="799465"/>
                        </a:xfrm>
                        <a:prstGeom prs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34C0E" id="Isosceles Triangle 1" o:spid="_x0000_s1026" type="#_x0000_t5" style="position:absolute;margin-left:79.4pt;margin-top:288.1pt;width:46.85pt;height:6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" filled="f" strokecolor="black [3213]" strokeweight="1.5pt"/>
            </w:pict>
          </mc:Fallback>
        </mc:AlternateContent>
      </w:r>
    </w:p>
    <w:p w14:paraId="0149B508" w14:textId="03B29494" w:rsidR="008E0CD3" w:rsidRDefault="008E0CD3" w:rsidP="008E0CD3">
      <w:pPr>
        <w:ind w:firstLine="720"/>
      </w:pPr>
    </w:p>
    <w:p w14:paraId="74FAACBC" w14:textId="4FC18BC2" w:rsidR="008E0CD3" w:rsidRDefault="008E0CD3" w:rsidP="008E0CD3">
      <w:pPr>
        <w:ind w:firstLine="720"/>
      </w:pPr>
    </w:p>
    <w:p w14:paraId="4F1B7BCD" w14:textId="6C6937A5" w:rsidR="008E0CD3" w:rsidRDefault="008E0CD3" w:rsidP="008E0CD3">
      <w:pPr>
        <w:ind w:firstLine="720"/>
      </w:pPr>
    </w:p>
    <w:p w14:paraId="1B889C6C" w14:textId="62E588DD" w:rsidR="008E0CD3" w:rsidRDefault="008E0CD3" w:rsidP="008E0CD3">
      <w:pPr>
        <w:ind w:firstLine="720"/>
      </w:pPr>
    </w:p>
    <w:p w14:paraId="1AC077E1" w14:textId="64C3B44C" w:rsidR="008E0CD3" w:rsidRDefault="008E0CD3" w:rsidP="008E0CD3">
      <w:pPr>
        <w:ind w:firstLine="720"/>
      </w:pPr>
    </w:p>
    <w:p w14:paraId="42E8C557" w14:textId="76E76C80" w:rsidR="008E0CD3" w:rsidRDefault="008E0CD3" w:rsidP="008E0CD3">
      <w:pPr>
        <w:ind w:firstLine="720"/>
      </w:pPr>
    </w:p>
    <w:p w14:paraId="273A58CC" w14:textId="046D4BFA" w:rsidR="008E0CD3" w:rsidRDefault="008E0CD3" w:rsidP="008E0CD3">
      <w:pPr>
        <w:ind w:firstLine="720"/>
      </w:pPr>
    </w:p>
    <w:p w14:paraId="70085C55" w14:textId="0BCB10A8" w:rsidR="008E0CD3" w:rsidRDefault="008E0CD3" w:rsidP="008E0CD3">
      <w:pPr>
        <w:ind w:firstLine="720"/>
      </w:pPr>
    </w:p>
    <w:p w14:paraId="084AC68A" w14:textId="37AF56E1" w:rsidR="008E0CD3" w:rsidRDefault="008E0CD3" w:rsidP="008E0CD3">
      <w:pPr>
        <w:ind w:firstLine="720"/>
      </w:pPr>
    </w:p>
    <w:p w14:paraId="5CA4B8CC" w14:textId="365259C1" w:rsidR="008E0CD3" w:rsidRDefault="008E0CD3" w:rsidP="008E0CD3">
      <w:pPr>
        <w:ind w:firstLine="720"/>
      </w:pPr>
    </w:p>
    <w:p w14:paraId="104A0D52" w14:textId="03EDABDB" w:rsidR="008E0CD3" w:rsidRDefault="008E0CD3" w:rsidP="008E0CD3">
      <w:pPr>
        <w:ind w:firstLine="720"/>
      </w:pPr>
    </w:p>
    <w:p w14:paraId="4FE6925A" w14:textId="5B895D76" w:rsidR="008E0CD3" w:rsidRDefault="008E0CD3" w:rsidP="008E0CD3">
      <w:pPr>
        <w:ind w:firstLine="720"/>
      </w:pPr>
    </w:p>
    <w:p w14:paraId="3FD35EBE" w14:textId="77777777" w:rsidR="008E0CD3" w:rsidRDefault="008E0CD3" w:rsidP="008E0CD3">
      <w:pPr>
        <w:ind w:firstLine="720"/>
      </w:pPr>
    </w:p>
    <w:p w14:paraId="58391441" w14:textId="77777777" w:rsidR="008E0CD3" w:rsidRDefault="008E0CD3" w:rsidP="008E0CD3">
      <w:pPr>
        <w:ind w:firstLine="720"/>
        <w:rPr>
          <w:rFonts w:eastAsia="SimSun"/>
        </w:rPr>
      </w:pPr>
    </w:p>
    <w:p w14:paraId="22D0119D" w14:textId="77777777" w:rsidR="008E0CD3" w:rsidRDefault="008E0CD3" w:rsidP="008E0CD3">
      <w:pPr>
        <w:ind w:firstLine="720"/>
        <w:rPr>
          <w:rFonts w:eastAsia="SimSun"/>
        </w:rPr>
      </w:pPr>
    </w:p>
    <w:p w14:paraId="7CD7CFD5" w14:textId="77777777" w:rsidR="008E0CD3" w:rsidRDefault="008E0CD3" w:rsidP="008E0CD3">
      <w:pPr>
        <w:ind w:firstLine="720"/>
        <w:rPr>
          <w:rFonts w:eastAsia="SimSun"/>
        </w:rPr>
      </w:pPr>
    </w:p>
    <w:p w14:paraId="6C4B11F3" w14:textId="77777777" w:rsidR="008E0CD3" w:rsidRDefault="008E0CD3" w:rsidP="008E0CD3">
      <w:pPr>
        <w:ind w:firstLine="720"/>
        <w:rPr>
          <w:rFonts w:eastAsia="SimSun"/>
        </w:rPr>
      </w:pPr>
    </w:p>
    <w:p w14:paraId="7174B0A3" w14:textId="77777777" w:rsidR="008E0CD3" w:rsidRDefault="008E0CD3" w:rsidP="008E0CD3">
      <w:pPr>
        <w:ind w:firstLine="720"/>
        <w:rPr>
          <w:rFonts w:eastAsia="SimSun"/>
        </w:rPr>
      </w:pPr>
    </w:p>
    <w:p w14:paraId="0F3851CB" w14:textId="77777777" w:rsidR="008E0CD3" w:rsidRDefault="008E0CD3" w:rsidP="008E0CD3">
      <w:pPr>
        <w:ind w:firstLine="720"/>
        <w:rPr>
          <w:rFonts w:eastAsia="SimSun"/>
        </w:rPr>
      </w:pPr>
    </w:p>
    <w:p w14:paraId="56B7545E" w14:textId="77777777" w:rsidR="008E0CD3" w:rsidRDefault="008E0CD3" w:rsidP="008E0CD3">
      <w:pPr>
        <w:ind w:firstLine="720"/>
        <w:rPr>
          <w:rFonts w:eastAsia="SimSun"/>
        </w:rPr>
      </w:pPr>
    </w:p>
    <w:p w14:paraId="123616DF" w14:textId="77777777" w:rsidR="008E0CD3" w:rsidRDefault="008E0CD3" w:rsidP="008E0CD3">
      <w:pPr>
        <w:ind w:firstLine="720"/>
        <w:rPr>
          <w:rFonts w:eastAsia="SimSun"/>
        </w:rPr>
      </w:pPr>
    </w:p>
    <w:p w14:paraId="7BF20C13" w14:textId="77777777" w:rsidR="008E0CD3" w:rsidRDefault="008E0CD3" w:rsidP="008E0CD3">
      <w:pPr>
        <w:ind w:firstLine="720"/>
        <w:rPr>
          <w:rFonts w:eastAsia="SimSun"/>
        </w:rPr>
      </w:pPr>
    </w:p>
    <w:p w14:paraId="3FAB78AE" w14:textId="77777777" w:rsidR="008E0CD3" w:rsidRDefault="008E0CD3" w:rsidP="008E0CD3">
      <w:pPr>
        <w:ind w:firstLine="720"/>
        <w:rPr>
          <w:rFonts w:eastAsia="SimSun"/>
        </w:rPr>
      </w:pPr>
    </w:p>
    <w:p w14:paraId="5BD97E0F" w14:textId="77777777" w:rsidR="008E0CD3" w:rsidRDefault="008E0CD3" w:rsidP="008E0CD3">
      <w:pPr>
        <w:ind w:firstLine="720"/>
        <w:rPr>
          <w:rFonts w:eastAsia="SimSun"/>
        </w:rPr>
      </w:pPr>
    </w:p>
    <w:p w14:paraId="6024FF44" w14:textId="77777777" w:rsidR="008E0CD3" w:rsidRDefault="008E0CD3" w:rsidP="008E0CD3">
      <w:pPr>
        <w:ind w:firstLine="720"/>
        <w:rPr>
          <w:rFonts w:eastAsia="SimSun"/>
        </w:rPr>
      </w:pPr>
    </w:p>
    <w:p w14:paraId="70CC2B4E" w14:textId="77777777" w:rsidR="008E0CD3" w:rsidRDefault="008E0CD3" w:rsidP="008E0CD3">
      <w:pPr>
        <w:ind w:firstLine="720"/>
        <w:rPr>
          <w:rFonts w:eastAsia="SimSun"/>
        </w:rPr>
      </w:pPr>
    </w:p>
    <w:p w14:paraId="7DC4D8C5" w14:textId="77777777" w:rsidR="008E0CD3" w:rsidRDefault="008E0CD3" w:rsidP="008E0CD3">
      <w:pPr>
        <w:ind w:firstLine="720"/>
        <w:rPr>
          <w:rFonts w:eastAsia="SimSun"/>
        </w:rPr>
      </w:pPr>
    </w:p>
    <w:p w14:paraId="0571541B" w14:textId="77777777" w:rsidR="008E0CD3" w:rsidRDefault="008E0CD3" w:rsidP="008E0CD3">
      <w:pPr>
        <w:ind w:firstLine="720"/>
        <w:rPr>
          <w:rFonts w:eastAsia="SimSun"/>
        </w:rPr>
      </w:pPr>
    </w:p>
    <w:p w14:paraId="0A5DAF7F" w14:textId="77777777" w:rsidR="008E0CD3" w:rsidRDefault="008E0CD3" w:rsidP="008E0CD3">
      <w:pPr>
        <w:ind w:firstLine="720"/>
        <w:rPr>
          <w:rFonts w:eastAsia="SimSun"/>
        </w:rPr>
      </w:pPr>
    </w:p>
    <w:p w14:paraId="09CA133D" w14:textId="77777777" w:rsidR="008E0CD3" w:rsidRDefault="008E0CD3" w:rsidP="008E0CD3">
      <w:pPr>
        <w:ind w:firstLine="720"/>
        <w:rPr>
          <w:rFonts w:eastAsia="SimSun"/>
        </w:rPr>
      </w:pPr>
    </w:p>
    <w:p w14:paraId="3B3B7592" w14:textId="77777777" w:rsidR="008E0CD3" w:rsidRDefault="008E0CD3" w:rsidP="008E0CD3">
      <w:pPr>
        <w:ind w:firstLine="720"/>
        <w:rPr>
          <w:rFonts w:eastAsia="SimSun"/>
        </w:rPr>
      </w:pPr>
    </w:p>
    <w:p w14:paraId="4F94E2A0" w14:textId="77777777" w:rsidR="008E0CD3" w:rsidRDefault="008E0CD3" w:rsidP="008E0CD3">
      <w:pPr>
        <w:ind w:firstLine="720"/>
        <w:rPr>
          <w:rFonts w:eastAsia="SimSun"/>
        </w:rPr>
      </w:pPr>
    </w:p>
    <w:p w14:paraId="76614ED8" w14:textId="77777777" w:rsidR="008E0CD3" w:rsidRDefault="008E0CD3" w:rsidP="008E0CD3">
      <w:pPr>
        <w:ind w:firstLine="720"/>
        <w:rPr>
          <w:rFonts w:eastAsia="SimSun"/>
        </w:rPr>
      </w:pPr>
    </w:p>
    <w:p w14:paraId="69E7D5BC" w14:textId="77777777" w:rsidR="008E0CD3" w:rsidRDefault="008E0CD3" w:rsidP="008E0CD3">
      <w:pPr>
        <w:ind w:firstLine="720"/>
        <w:rPr>
          <w:rFonts w:eastAsia="SimSun"/>
        </w:rPr>
      </w:pPr>
    </w:p>
    <w:p w14:paraId="5FC122CD" w14:textId="2D2B1C42" w:rsidR="008E0CD3" w:rsidRPr="00722161" w:rsidRDefault="008E0CD3" w:rsidP="008E0CD3">
      <w:pPr>
        <w:ind w:firstLine="720"/>
        <w:rPr>
          <w:rFonts w:eastAsia="SimSun"/>
        </w:rPr>
      </w:pPr>
      <w:r w:rsidRPr="004D67AB">
        <w:rPr>
          <w:rFonts w:eastAsia="SimSun"/>
        </w:rPr>
        <w:lastRenderedPageBreak/>
        <w:t>Core central SOE leaders are comparable to other leading Chinese officials because of their formal bureaucratic status—their administrative rank equivalence—and their political management by the COD. Core central SOE executives are almost invariably Han Chinese men between 50 and 60 years old.</w:t>
      </w:r>
      <w:r w:rsidRPr="00722161">
        <w:rPr>
          <w:rStyle w:val="FootnoteReference"/>
          <w:rFonts w:eastAsia="SimSun"/>
        </w:rPr>
        <w:footnoteReference w:id="24"/>
      </w:r>
      <w:r w:rsidRPr="00722161">
        <w:rPr>
          <w:rFonts w:eastAsia="SimSun"/>
        </w:rPr>
        <w:t xml:space="preserve"> Virtually all have at least a college education, similar to leading local officials like provincial governors and Party secretaries.</w:t>
      </w:r>
      <w:r w:rsidRPr="00722161">
        <w:rPr>
          <w:rStyle w:val="FootnoteReference"/>
          <w:rFonts w:eastAsia="SimSun"/>
        </w:rPr>
        <w:footnoteReference w:id="25"/>
      </w:r>
      <w:r w:rsidRPr="00722161">
        <w:rPr>
          <w:rFonts w:eastAsia="SimSun"/>
        </w:rPr>
        <w:t xml:space="preserve"> Core central SOE heads typically assume their positions after decades spent working their way up gradually within a particular industry and sometimes even within a particular firm. They routinely move on into Chinese civil service positions in local and central government, although their rates of political circulation and age-mandated retirement are lower than those of other officials.</w:t>
      </w:r>
      <w:r w:rsidRPr="00722161">
        <w:rPr>
          <w:rStyle w:val="FootnoteReference"/>
          <w:rFonts w:eastAsia="SimSun"/>
        </w:rPr>
        <w:footnoteReference w:id="26"/>
      </w:r>
      <w:r w:rsidRPr="00722161">
        <w:rPr>
          <w:rFonts w:eastAsia="SimSun"/>
        </w:rPr>
        <w:t xml:space="preserve"> It is extremely rare for core central SOE leaders to cross over to the private sector, even though exits from the public sector are becoming more common for local officials.</w:t>
      </w:r>
      <w:r w:rsidRPr="00722161">
        <w:rPr>
          <w:rStyle w:val="FootnoteReference"/>
          <w:rFonts w:eastAsia="SimSun"/>
        </w:rPr>
        <w:footnoteReference w:id="27"/>
      </w:r>
    </w:p>
    <w:p w14:paraId="0F60F23C" w14:textId="77777777" w:rsidR="008E0CD3" w:rsidRPr="00164AA1" w:rsidRDefault="008E0CD3" w:rsidP="008E0CD3">
      <w:pPr>
        <w:ind w:firstLine="720"/>
        <w:rPr>
          <w:rFonts w:eastAsia="SimSun"/>
        </w:rPr>
      </w:pPr>
    </w:p>
    <w:p w14:paraId="1539A085" w14:textId="77777777" w:rsidR="008E0CD3" w:rsidRPr="008B0216" w:rsidRDefault="008E0CD3" w:rsidP="008E0CD3">
      <w:pPr>
        <w:rPr>
          <w:b/>
          <w:u w:val="single"/>
        </w:rPr>
      </w:pPr>
      <w:r w:rsidRPr="00164AA1">
        <w:rPr>
          <w:b/>
          <w:u w:val="single"/>
        </w:rPr>
        <w:t xml:space="preserve">Personnel Power and </w:t>
      </w:r>
      <w:r w:rsidRPr="008B0216">
        <w:rPr>
          <w:b/>
          <w:u w:val="single"/>
        </w:rPr>
        <w:t>SOE Executives</w:t>
      </w:r>
    </w:p>
    <w:p w14:paraId="5ECFD50C" w14:textId="77777777" w:rsidR="008E0CD3" w:rsidRPr="008B0216" w:rsidRDefault="008E0CD3" w:rsidP="008E0CD3">
      <w:pPr>
        <w:ind w:firstLine="720"/>
        <w:rPr>
          <w:rFonts w:eastAsia="SimSun"/>
        </w:rPr>
      </w:pPr>
      <w:r w:rsidRPr="008B0216">
        <w:rPr>
          <w:rFonts w:eastAsia="SimSun"/>
        </w:rPr>
        <w:t>Because Chinese SOE leaders are administratively similar to other officials in the state bureaucracy, existing research on political mobility provides a starting point for analyzing SOE leader mobility. Numerous studies find a positive correlation between economic performance and political advancement.</w:t>
      </w:r>
      <w:r w:rsidRPr="008B0216">
        <w:rPr>
          <w:rStyle w:val="FootnoteReference"/>
          <w:rFonts w:eastAsia="SimSun"/>
        </w:rPr>
        <w:footnoteReference w:id="28"/>
      </w:r>
      <w:r w:rsidRPr="008B0216">
        <w:rPr>
          <w:rFonts w:eastAsia="SimSun"/>
        </w:rPr>
        <w:t xml:space="preserve"> This positive relationship is theorized to drive a meritocratic growth model in which the CCP’s cadre management system incentivizes and rewards economic performance.</w:t>
      </w:r>
      <w:r w:rsidRPr="008B0216">
        <w:rPr>
          <w:rStyle w:val="FootnoteReference"/>
          <w:rFonts w:eastAsia="SimSun"/>
        </w:rPr>
        <w:footnoteReference w:id="29"/>
      </w:r>
      <w:r w:rsidRPr="008B0216">
        <w:rPr>
          <w:rFonts w:eastAsia="SimSun"/>
        </w:rPr>
        <w:t xml:space="preserve"> Other scholarship finds that political connectedness and patronage ties improve officials’ career prospects.</w:t>
      </w:r>
      <w:r w:rsidRPr="008B0216">
        <w:rPr>
          <w:rStyle w:val="FootnoteReference"/>
          <w:rFonts w:eastAsia="SimSun"/>
        </w:rPr>
        <w:footnoteReference w:id="30"/>
      </w:r>
      <w:r w:rsidRPr="008B0216">
        <w:rPr>
          <w:rFonts w:eastAsia="SimSun"/>
        </w:rPr>
        <w:t xml:space="preserve"> Another body of work suggests that economic performance has a greater effect at lower levels and for individuals in government positions, whereas political connectedness matters more at the central level and for Party posts.</w:t>
      </w:r>
      <w:r w:rsidRPr="008B0216">
        <w:rPr>
          <w:rStyle w:val="FootnoteReference"/>
          <w:rFonts w:eastAsia="SimSun"/>
        </w:rPr>
        <w:footnoteReference w:id="31"/>
      </w:r>
      <w:r w:rsidRPr="008B0216">
        <w:rPr>
          <w:rFonts w:eastAsia="SimSun"/>
        </w:rPr>
        <w:t xml:space="preserve"> Still others argue that economic performance itself may be partly endogenous to political connections.</w:t>
      </w:r>
      <w:r w:rsidRPr="008B0216">
        <w:rPr>
          <w:rStyle w:val="FootnoteReference"/>
          <w:rFonts w:eastAsia="SimSun"/>
        </w:rPr>
        <w:footnoteReference w:id="32"/>
      </w:r>
      <w:r w:rsidRPr="008B0216">
        <w:rPr>
          <w:rFonts w:eastAsia="SimSun"/>
        </w:rPr>
        <w:t xml:space="preserve"> </w:t>
      </w:r>
    </w:p>
    <w:p w14:paraId="662D192E" w14:textId="77777777" w:rsidR="008E0CD3" w:rsidRPr="008B0216" w:rsidRDefault="008E0CD3" w:rsidP="008E0CD3">
      <w:pPr>
        <w:ind w:firstLine="720"/>
        <w:rPr>
          <w:rFonts w:eastAsia="SimSun"/>
        </w:rPr>
      </w:pPr>
      <w:r w:rsidRPr="008B0216">
        <w:rPr>
          <w:rFonts w:eastAsia="SimSun"/>
        </w:rPr>
        <w:t xml:space="preserve">Scholarship specifically addressing central SOE leaders is growing but remains limited. Yang, Wang, and </w:t>
      </w:r>
      <w:proofErr w:type="spellStart"/>
      <w:r w:rsidRPr="008B0216">
        <w:rPr>
          <w:rFonts w:eastAsia="SimSun"/>
        </w:rPr>
        <w:t>Nie</w:t>
      </w:r>
      <w:proofErr w:type="spellEnd"/>
      <w:r w:rsidRPr="008B0216">
        <w:rPr>
          <w:rFonts w:eastAsia="SimSun"/>
        </w:rPr>
        <w:t xml:space="preserve"> (2013) find that economic performance, membership in the Central Committee of the CCP, and having a Ph.D. degree all boosted the likelihood of individuals advancing within and beyond the top ranks of central SOE management between 2008 and 2011. </w:t>
      </w:r>
      <w:proofErr w:type="spellStart"/>
      <w:r w:rsidRPr="008B0216">
        <w:rPr>
          <w:rFonts w:eastAsia="SimSun"/>
        </w:rPr>
        <w:t>Brødsgaard</w:t>
      </w:r>
      <w:proofErr w:type="spellEnd"/>
      <w:r w:rsidRPr="008B0216">
        <w:rPr>
          <w:rFonts w:eastAsia="SimSun"/>
        </w:rPr>
        <w:t xml:space="preserve"> et al. (2017) look inside central SOEs to find that economic performance positively affected the internal promotion of subsidiary heads between 2003 and 2012. Other studies focus </w:t>
      </w:r>
      <w:r w:rsidRPr="008B0216">
        <w:rPr>
          <w:rFonts w:eastAsia="SimSun"/>
        </w:rPr>
        <w:lastRenderedPageBreak/>
        <w:t>on central SOE leaders’ career trajectories, political connectedness, and institutional integration within China’s political system.</w:t>
      </w:r>
      <w:r w:rsidRPr="008B0216">
        <w:rPr>
          <w:rStyle w:val="FootnoteReference"/>
          <w:rFonts w:eastAsia="SimSun"/>
        </w:rPr>
        <w:footnoteReference w:id="33"/>
      </w:r>
      <w:r w:rsidRPr="008B0216">
        <w:rPr>
          <w:rFonts w:eastAsia="SimSun"/>
        </w:rPr>
        <w:t xml:space="preserve"> </w:t>
      </w:r>
    </w:p>
    <w:p w14:paraId="6B2BE229" w14:textId="77777777" w:rsidR="008E0CD3" w:rsidRPr="008B0216" w:rsidRDefault="008E0CD3" w:rsidP="008E0CD3">
      <w:pPr>
        <w:ind w:firstLine="720"/>
        <w:rPr>
          <w:rFonts w:eastAsia="SimSun"/>
        </w:rPr>
      </w:pPr>
      <w:r w:rsidRPr="008B0216">
        <w:rPr>
          <w:rFonts w:eastAsia="SimSun"/>
        </w:rPr>
        <w:t>These works provide important insights but have highly restricted empirical and chronological scope. Multiple studies combine leaders of core and non-core central SOEs in their analyses or aggregate intra-firm and post-firm advancement as a single dependent variable;</w:t>
      </w:r>
      <w:r w:rsidRPr="008B0216">
        <w:rPr>
          <w:rStyle w:val="FootnoteReference"/>
          <w:rFonts w:eastAsia="SimSun"/>
        </w:rPr>
        <w:footnoteReference w:id="34"/>
      </w:r>
      <w:r w:rsidRPr="008B0216">
        <w:rPr>
          <w:rFonts w:eastAsia="SimSun"/>
        </w:rPr>
        <w:t xml:space="preserve"> however, this is unadvisable because different bodies appoint the leaders of core and non-core </w:t>
      </w:r>
      <w:proofErr w:type="gramStart"/>
      <w:r w:rsidRPr="008B0216">
        <w:rPr>
          <w:rFonts w:eastAsia="SimSun"/>
        </w:rPr>
        <w:t>SOEs</w:t>
      </w:r>
      <w:proofErr w:type="gramEnd"/>
      <w:r w:rsidRPr="008B0216">
        <w:rPr>
          <w:rFonts w:eastAsia="SimSun"/>
        </w:rPr>
        <w:t xml:space="preserve"> and the determinants of intra-firm</w:t>
      </w:r>
      <w:r>
        <w:rPr>
          <w:rFonts w:eastAsia="SimSun"/>
        </w:rPr>
        <w:t xml:space="preserve"> promotion</w:t>
      </w:r>
      <w:r w:rsidRPr="008B0216">
        <w:rPr>
          <w:rFonts w:eastAsia="SimSun"/>
        </w:rPr>
        <w:t xml:space="preserve"> and post-</w:t>
      </w:r>
      <w:r>
        <w:rPr>
          <w:rFonts w:eastAsia="SimSun"/>
        </w:rPr>
        <w:t>executive leadership</w:t>
      </w:r>
      <w:r w:rsidRPr="008B0216">
        <w:rPr>
          <w:rFonts w:eastAsia="SimSun"/>
        </w:rPr>
        <w:t xml:space="preserve"> movements are likely to differ. Other work only examines intra-firm promotions of subsidiary heads, not the mobility of core central SOE leaders.</w:t>
      </w:r>
      <w:r w:rsidRPr="008B0216">
        <w:rPr>
          <w:rStyle w:val="FootnoteReference"/>
          <w:rFonts w:eastAsia="SimSun"/>
        </w:rPr>
        <w:footnoteReference w:id="35"/>
      </w:r>
      <w:r w:rsidRPr="008B0216">
        <w:rPr>
          <w:rFonts w:eastAsia="SimSun"/>
        </w:rPr>
        <w:t xml:space="preserve"> The short timeframes in existing research—only one year in Lin (2017) and four years in Yang, Wang and </w:t>
      </w:r>
      <w:proofErr w:type="spellStart"/>
      <w:r w:rsidRPr="008B0216">
        <w:rPr>
          <w:rFonts w:eastAsia="SimSun"/>
        </w:rPr>
        <w:t>Nie</w:t>
      </w:r>
      <w:proofErr w:type="spellEnd"/>
      <w:r w:rsidRPr="008B0216">
        <w:rPr>
          <w:rFonts w:eastAsia="SimSun"/>
        </w:rPr>
        <w:t xml:space="preserve"> (2013)—constitute a further analytic obstacle.</w:t>
      </w:r>
      <w:r w:rsidRPr="008B0216">
        <w:t xml:space="preserve"> </w:t>
      </w:r>
      <w:r w:rsidRPr="008B0216">
        <w:rPr>
          <w:rFonts w:eastAsia="SimSun"/>
        </w:rPr>
        <w:t xml:space="preserve">Our analysis of personnel power in China—how the government uses executive appointments to govern SOEs—advances these studies by systematically assessing the factors </w:t>
      </w:r>
      <w:r>
        <w:rPr>
          <w:rFonts w:eastAsia="SimSun"/>
        </w:rPr>
        <w:t>affecting</w:t>
      </w:r>
      <w:r w:rsidRPr="008B0216">
        <w:rPr>
          <w:rFonts w:eastAsia="SimSun"/>
        </w:rPr>
        <w:t xml:space="preserve"> political mobility for all core central SOE leaders between 2003 and 2017.</w:t>
      </w:r>
    </w:p>
    <w:p w14:paraId="0D9020AE" w14:textId="77777777" w:rsidR="008E0CD3" w:rsidRPr="008B0216" w:rsidRDefault="008E0CD3" w:rsidP="008E0CD3">
      <w:pPr>
        <w:ind w:firstLine="720"/>
      </w:pPr>
    </w:p>
    <w:p w14:paraId="6D426855" w14:textId="77777777" w:rsidR="008E0CD3" w:rsidRPr="008B0216" w:rsidRDefault="008E0CD3" w:rsidP="008E0CD3">
      <w:pPr>
        <w:rPr>
          <w:b/>
          <w:u w:val="single"/>
        </w:rPr>
      </w:pPr>
      <w:r w:rsidRPr="008B0216">
        <w:rPr>
          <w:b/>
          <w:u w:val="single"/>
        </w:rPr>
        <w:t>The Exercise of Personnel Power</w:t>
      </w:r>
    </w:p>
    <w:p w14:paraId="27A97CC4" w14:textId="77777777" w:rsidR="008E0CD3" w:rsidRPr="008B0216" w:rsidRDefault="008E0CD3" w:rsidP="008E0CD3">
      <w:pPr>
        <w:snapToGrid w:val="0"/>
        <w:ind w:firstLine="720"/>
        <w:rPr>
          <w:rFonts w:eastAsia="SimSun"/>
        </w:rPr>
      </w:pPr>
      <w:r w:rsidRPr="008B0216">
        <w:t xml:space="preserve">How does the CCP exercise personnel power? Are market forces correlated with personnel management, or do political connections define the career paths of China’s core central SOE leaders? Economic performance is </w:t>
      </w:r>
      <w:r w:rsidRPr="008B0216">
        <w:rPr>
          <w:rFonts w:eastAsia="SimSun"/>
        </w:rPr>
        <w:t>one possible explanation for political mobility. SOEs’ economic performance is of vital concern to the state: they contribute 30 percent of government revenues and account for 40 percent of market capitalization of companies listed on the Shanghai and Shenzhen stock exchanges.</w:t>
      </w:r>
      <w:r w:rsidRPr="008B0216">
        <w:rPr>
          <w:rStyle w:val="FootnoteReference"/>
          <w:rFonts w:eastAsia="SimSun"/>
        </w:rPr>
        <w:footnoteReference w:id="36"/>
      </w:r>
      <w:r w:rsidRPr="008B0216">
        <w:rPr>
          <w:rFonts w:eastAsia="SimSun"/>
        </w:rPr>
        <w:t xml:space="preserve"> SOEs also support economic stability by helping to avert financial turmoil, for example by enabling the coordinated resumption of Chinese industrial production during the COVID-19 pandemic and arresting sell-offs during 2015 Chinese stock market volatility.</w:t>
      </w:r>
      <w:r w:rsidRPr="008B0216">
        <w:rPr>
          <w:rStyle w:val="FootnoteReference"/>
          <w:rFonts w:eastAsia="SimSun"/>
        </w:rPr>
        <w:footnoteReference w:id="37"/>
      </w:r>
      <w:r w:rsidRPr="008B0216">
        <w:rPr>
          <w:rFonts w:eastAsia="SimSun"/>
        </w:rPr>
        <w:t xml:space="preserve"> Improving SOEs’ economic performance has been a longstanding policy goal in China; state intervention to restructure poor performers further underscores the imperative for core central SOE leaders in all sectors to deliver positive economic performance. Indeed, SASAC requires central SOE leaders to sign responsibility contracts for firm performance and charges them with fulfilling what director</w:t>
      </w:r>
      <w:r>
        <w:rPr>
          <w:rFonts w:eastAsia="SimSun"/>
        </w:rPr>
        <w:t xml:space="preserve"> Hao Peng</w:t>
      </w:r>
      <w:r w:rsidRPr="008B0216">
        <w:rPr>
          <w:rFonts w:eastAsia="SimSun"/>
        </w:rPr>
        <w:t xml:space="preserve"> describes as an economic “stabilizer” function.</w:t>
      </w:r>
      <w:r w:rsidRPr="008B0216">
        <w:rPr>
          <w:rStyle w:val="FootnoteReference"/>
          <w:rFonts w:eastAsia="SimSun"/>
        </w:rPr>
        <w:footnoteReference w:id="38"/>
      </w:r>
      <w:r w:rsidRPr="008B0216">
        <w:rPr>
          <w:rFonts w:eastAsia="SimSun"/>
        </w:rPr>
        <w:t xml:space="preserve"> Together, these factors suggest that firm performance could influence leader outcomes. Choosing to retain SOE executives who deliver positive economic performance helps to aid government solvency and avert financial turmoil, whereas removing or transferring well-performing SOE leaders risks potentially destabilizing firm performance and broader growth.</w:t>
      </w:r>
      <w:r w:rsidRPr="008B0216">
        <w:rPr>
          <w:rStyle w:val="FootnoteReference"/>
          <w:rFonts w:eastAsia="SimSun"/>
        </w:rPr>
        <w:footnoteReference w:id="39"/>
      </w:r>
      <w:r w:rsidRPr="008B0216">
        <w:rPr>
          <w:rFonts w:eastAsia="SimSun"/>
        </w:rPr>
        <w:t xml:space="preserve">  </w:t>
      </w:r>
    </w:p>
    <w:p w14:paraId="2C2436A8" w14:textId="77777777" w:rsidR="008E0CD3" w:rsidRPr="00164AA1" w:rsidRDefault="008E0CD3" w:rsidP="008E0CD3">
      <w:pPr>
        <w:snapToGrid w:val="0"/>
        <w:ind w:firstLine="720"/>
        <w:rPr>
          <w:rFonts w:eastAsia="SimSun"/>
        </w:rPr>
      </w:pPr>
      <w:r w:rsidRPr="00164AA1">
        <w:rPr>
          <w:rFonts w:eastAsia="SimSun"/>
        </w:rPr>
        <w:t xml:space="preserve">Publicly available information indicates that economic performance is vital to performance assessment for core central SOE leaders. Chinese SOEs routinely compete with one </w:t>
      </w:r>
      <w:r w:rsidRPr="00164AA1">
        <w:rPr>
          <w:rFonts w:eastAsia="SimSun"/>
        </w:rPr>
        <w:lastRenderedPageBreak/>
        <w:t>another and with foreign firms, both at home and abroad.</w:t>
      </w:r>
      <w:r w:rsidRPr="00164AA1">
        <w:rPr>
          <w:rStyle w:val="FootnoteReference"/>
          <w:rFonts w:eastAsia="SimSun"/>
        </w:rPr>
        <w:footnoteReference w:id="40"/>
      </w:r>
      <w:r w:rsidRPr="00164AA1">
        <w:rPr>
          <w:rFonts w:eastAsia="SimSun"/>
        </w:rPr>
        <w:t xml:space="preserve"> The state expects central SOEs to at minimum make profits, even if not necessarily to maximize them.</w:t>
      </w:r>
      <w:r w:rsidRPr="00164AA1">
        <w:rPr>
          <w:rStyle w:val="FootnoteReference"/>
          <w:rFonts w:eastAsia="SimSun"/>
        </w:rPr>
        <w:footnoteReference w:id="41"/>
      </w:r>
      <w:r w:rsidRPr="00164AA1">
        <w:rPr>
          <w:rFonts w:eastAsia="SimSun"/>
        </w:rPr>
        <w:t xml:space="preserve"> Even so, maximization of operational profits is still listed first among the principles on which SASAC’s performance assessment system was originally based.</w:t>
      </w:r>
      <w:r w:rsidRPr="00164AA1">
        <w:rPr>
          <w:rStyle w:val="FootnoteReference"/>
          <w:rFonts w:eastAsia="SimSun"/>
        </w:rPr>
        <w:footnoteReference w:id="42"/>
      </w:r>
      <w:r w:rsidRPr="00164AA1">
        <w:rPr>
          <w:rFonts w:eastAsia="SimSun"/>
        </w:rPr>
        <w:t xml:space="preserve"> In central SOE assessment measures issued by the COD and SASAC on a trial basis in 2009, fully half of the proposed evaluation scheme was based on operational performance metrics, more than any other area assessed.</w:t>
      </w:r>
      <w:r w:rsidRPr="00164AA1">
        <w:rPr>
          <w:rStyle w:val="FootnoteReference"/>
          <w:rFonts w:eastAsia="SimSun"/>
        </w:rPr>
        <w:footnoteReference w:id="43"/>
      </w:r>
      <w:r w:rsidRPr="00164AA1">
        <w:rPr>
          <w:rFonts w:eastAsia="SimSun"/>
        </w:rPr>
        <w:t xml:space="preserve"> The most recent publicized evaluation measures urge SOE leaders to boost efficiency, optimize resource allocation, improve labor productivity, and increase capital returns.</w:t>
      </w:r>
      <w:r w:rsidRPr="00164AA1">
        <w:rPr>
          <w:rStyle w:val="FootnoteReference"/>
          <w:rFonts w:eastAsia="SimSun"/>
        </w:rPr>
        <w:footnoteReference w:id="44"/>
      </w:r>
      <w:r w:rsidRPr="00164AA1">
        <w:rPr>
          <w:rFonts w:eastAsia="SimSun"/>
        </w:rPr>
        <w:t xml:space="preserve"> Every year, SASAC measures top executives’ success in achieving economic performance targets based on the preceding year’s results, and it assigns them a grade from A to E that determines their compensation relative to a fixed baseline.</w:t>
      </w:r>
      <w:r w:rsidRPr="00164AA1">
        <w:rPr>
          <w:rStyle w:val="FootnoteReference"/>
          <w:rFonts w:eastAsia="SimSun"/>
        </w:rPr>
        <w:footnoteReference w:id="45"/>
      </w:r>
      <w:r w:rsidRPr="00164AA1">
        <w:rPr>
          <w:rFonts w:eastAsia="SimSun"/>
        </w:rPr>
        <w:t xml:space="preserve"> There is limited information publicly available about how SASAC’s grades ultimately factor into the COD’s decisions about political mobility for the core central SOE leaders under its personnel control. However, the fact that all central SOE leaders receive SASAC grades suggests that the COD does take them into account together with other factors, including individual</w:t>
      </w:r>
      <w:r>
        <w:rPr>
          <w:rFonts w:eastAsia="SimSun"/>
        </w:rPr>
        <w:t>s’</w:t>
      </w:r>
      <w:r w:rsidRPr="00164AA1">
        <w:rPr>
          <w:rFonts w:eastAsia="SimSun"/>
        </w:rPr>
        <w:t xml:space="preserve"> qualifications for particular posts and even their personal preferences.</w:t>
      </w:r>
      <w:r w:rsidRPr="00164AA1">
        <w:rPr>
          <w:rStyle w:val="FootnoteReference"/>
          <w:rFonts w:eastAsia="SimSun"/>
        </w:rPr>
        <w:footnoteReference w:id="46"/>
      </w:r>
      <w:r w:rsidRPr="00164AA1">
        <w:rPr>
          <w:rFonts w:eastAsia="SimSun"/>
        </w:rPr>
        <w:t xml:space="preserve"> Knowing that maintaining high-performing leaders supports economic stability and that economic performance is a key element for annual review, we expect: leaders of higher performing firms are more likely to maintain their positions than exit the state-owned economy.</w:t>
      </w:r>
    </w:p>
    <w:p w14:paraId="0451A181" w14:textId="77777777" w:rsidR="008E0CD3" w:rsidRDefault="008E0CD3" w:rsidP="008E0CD3">
      <w:pPr>
        <w:snapToGrid w:val="0"/>
        <w:ind w:firstLine="720"/>
      </w:pPr>
      <w:r w:rsidRPr="00164AA1">
        <w:t xml:space="preserve">Political connectedness is another potential determinant of </w:t>
      </w:r>
      <w:r>
        <w:t>SOE executive</w:t>
      </w:r>
      <w:r w:rsidRPr="00164AA1">
        <w:t xml:space="preserve"> management. In systems where the management of SOEs is highly integrated with the political system and ruling elites, political connectedness is expected to be the primary driver of personnel decisions. Of primary interest here is political connections through patron-client relations. SOE leaders are clients of three types of higher-level officials: central Party leaders, the COD—the department </w:t>
      </w:r>
      <w:r w:rsidRPr="00164AA1">
        <w:lastRenderedPageBreak/>
        <w:t xml:space="preserve">ultimately responsible for personnel decisions—and SASAC leaders—those in charge of annual reviews used by the COD to evaluate SOE leaders. Based on reciprocal accountability arrangements, political leaders rely on SOE executives to provide political and economic goods via their firms while SOE executives depend on political leaders for their jobs. </w:t>
      </w:r>
    </w:p>
    <w:p w14:paraId="4AAD7681" w14:textId="77777777" w:rsidR="008E0CD3" w:rsidRPr="00491124" w:rsidRDefault="008E0CD3" w:rsidP="008E0CD3">
      <w:pPr>
        <w:snapToGrid w:val="0"/>
        <w:ind w:firstLine="720"/>
        <w:rPr>
          <w:rFonts w:eastAsia="SimSun"/>
        </w:rPr>
      </w:pPr>
      <w:r w:rsidRPr="00164AA1">
        <w:rPr>
          <w:rFonts w:eastAsia="SimSun"/>
        </w:rPr>
        <w:t>Although informal connections are criticized for potentially undermining meritocratic, rules-based governance, they can boost political stability in multiple ways: by aligning interests, solving information problems, fostering mutual trust, sustaining cooperation, and improving communication within the state bureaucracy.</w:t>
      </w:r>
      <w:r w:rsidRPr="00164AA1">
        <w:rPr>
          <w:rStyle w:val="FootnoteReference"/>
          <w:rFonts w:eastAsia="SimSun"/>
        </w:rPr>
        <w:footnoteReference w:id="47"/>
      </w:r>
      <w:r w:rsidRPr="00164AA1">
        <w:rPr>
          <w:rFonts w:eastAsia="SimSun"/>
        </w:rPr>
        <w:t xml:space="preserve"> Political </w:t>
      </w:r>
      <w:r w:rsidRPr="00491124">
        <w:rPr>
          <w:rFonts w:eastAsia="SimSun"/>
        </w:rPr>
        <w:t>connectedness, then, increases transparency between patron and client, decreasing the information asymmetry present in all patron-client relationships. These ties have been shown to increase the probability of political advancement in other areas of the bureaucracy.</w:t>
      </w:r>
      <w:r w:rsidRPr="00491124">
        <w:rPr>
          <w:rStyle w:val="FootnoteReference"/>
          <w:rFonts w:eastAsia="SimSun"/>
        </w:rPr>
        <w:footnoteReference w:id="48"/>
      </w:r>
      <w:r w:rsidRPr="00491124">
        <w:rPr>
          <w:rFonts w:eastAsia="SimSun"/>
        </w:rPr>
        <w:t xml:space="preserve"> Patrons are incentivized to keep “their people” in the game longer, benefiting from broad networks creating a constant pool of political allies.</w:t>
      </w:r>
      <w:r w:rsidRPr="00491124">
        <w:rPr>
          <w:rStyle w:val="FootnoteReference"/>
          <w:rFonts w:eastAsia="SimSun"/>
        </w:rPr>
        <w:footnoteReference w:id="49"/>
      </w:r>
      <w:r w:rsidRPr="00491124">
        <w:rPr>
          <w:rFonts w:eastAsia="SimSun"/>
        </w:rPr>
        <w:t xml:space="preserve"> Encouraging one’s allies to stay in positions of power creates political stability by widening politician networks and constituencies of support. Because of this, we expect: leaders with patronage political connections are more likely to stay in the state-owned economy than exit.</w:t>
      </w:r>
    </w:p>
    <w:p w14:paraId="7BA805E1" w14:textId="77777777" w:rsidR="008E0CD3" w:rsidRPr="00890C1A" w:rsidRDefault="008E0CD3" w:rsidP="008E0CD3">
      <w:pPr>
        <w:snapToGrid w:val="0"/>
        <w:ind w:firstLine="720"/>
        <w:rPr>
          <w:rFonts w:eastAsia="SimSun"/>
        </w:rPr>
      </w:pPr>
      <w:r w:rsidRPr="00491124">
        <w:rPr>
          <w:rFonts w:eastAsia="SimSun"/>
        </w:rPr>
        <w:t xml:space="preserve">A final potential determinant of personnel power is the professional history of SOE leaders themselves. In politically oriented systems such as China, SOE leaders are more likely to have had previous work experience in the formal government bureaucracy because of the intertwined nature of the state and economy. Formal work experience in the state apparatus allows SOE leaders to gain familiarity with rules and expectations for political advancement and to demonstrate loyalty to the ruling regime. Since such work experience </w:t>
      </w:r>
      <w:r w:rsidRPr="00890C1A">
        <w:rPr>
          <w:rFonts w:eastAsia="SimSun"/>
        </w:rPr>
        <w:t xml:space="preserve">also provides an opportunity for socialization, network building, and exposure to government positions, we expect: former work experience in the state apparatus increases the probability of being transferred into government. </w:t>
      </w:r>
    </w:p>
    <w:p w14:paraId="77F692D4" w14:textId="77777777" w:rsidR="008E0CD3" w:rsidRPr="00890C1A" w:rsidRDefault="008E0CD3" w:rsidP="008E0CD3">
      <w:pPr>
        <w:snapToGrid w:val="0"/>
        <w:ind w:left="720"/>
        <w:rPr>
          <w:rFonts w:eastAsia="SimSun"/>
        </w:rPr>
      </w:pPr>
    </w:p>
    <w:p w14:paraId="496BC63A" w14:textId="77777777" w:rsidR="008E0CD3" w:rsidRPr="00890C1A" w:rsidRDefault="008E0CD3" w:rsidP="008E0CD3">
      <w:pPr>
        <w:snapToGrid w:val="0"/>
        <w:rPr>
          <w:b/>
          <w:u w:val="single"/>
        </w:rPr>
      </w:pPr>
      <w:r w:rsidRPr="00890C1A">
        <w:rPr>
          <w:b/>
          <w:u w:val="single"/>
        </w:rPr>
        <w:t>Methods and Data</w:t>
      </w:r>
    </w:p>
    <w:p w14:paraId="46A0789C" w14:textId="77777777" w:rsidR="008E0CD3" w:rsidRPr="00491124" w:rsidRDefault="008E0CD3" w:rsidP="008E0CD3">
      <w:pPr>
        <w:ind w:firstLine="720"/>
        <w:rPr>
          <w:rFonts w:eastAsia="SimSun"/>
        </w:rPr>
      </w:pPr>
      <w:r w:rsidRPr="00890C1A">
        <w:rPr>
          <w:rFonts w:eastAsia="SimSun"/>
        </w:rPr>
        <w:t>To evaluate the determinants of leaders’ political mobility, we use an original dataset of 243 leaders of all core central SOEs in China between 2003 and 2017, which yields a total of 1,231 leader-year observations.</w:t>
      </w:r>
      <w:r w:rsidRPr="00890C1A">
        <w:rPr>
          <w:rStyle w:val="FootnoteReference"/>
          <w:rFonts w:eastAsia="SimSun"/>
        </w:rPr>
        <w:footnoteReference w:id="50"/>
      </w:r>
      <w:r w:rsidRPr="00890C1A">
        <w:t xml:space="preserve"> </w:t>
      </w:r>
      <w:r w:rsidRPr="00890C1A">
        <w:rPr>
          <w:rFonts w:eastAsia="SimSun"/>
        </w:rPr>
        <w:t xml:space="preserve">We focus </w:t>
      </w:r>
      <w:r w:rsidRPr="00491124">
        <w:rPr>
          <w:rFonts w:eastAsia="SimSun"/>
        </w:rPr>
        <w:t>on core central SOEs because the clear lines of economic oversight by SASAC and political oversight by the COD allow us to more clearly identify potential patron-client relationships.</w:t>
      </w:r>
      <w:r w:rsidRPr="00491124">
        <w:rPr>
          <w:rStyle w:val="FootnoteReference"/>
          <w:rFonts w:eastAsia="SimSun"/>
        </w:rPr>
        <w:footnoteReference w:id="51"/>
      </w:r>
      <w:r w:rsidRPr="00491124">
        <w:rPr>
          <w:rFonts w:eastAsia="SimSun"/>
        </w:rPr>
        <w:t xml:space="preserve"> Because of China’s politically-oriented system of SOE management and the high ranking of core central SOEs with well-defined channels of authority between their leaders and the CCP, this study presents a case where political connections appear most likely to influence mobility outcomes. For inclusion in our sample, an individual must hold at least one of the three top leadership positions in a core central SOE—Party secretary, general manager, or chairman of the board of directors—for at least six months. Information about these leaders’ backgrounds and career trajectories was compiled from their official CVs, media reports,</w:t>
      </w:r>
      <w:r>
        <w:rPr>
          <w:rFonts w:eastAsia="SimSun"/>
        </w:rPr>
        <w:t xml:space="preserve"> company websites,</w:t>
      </w:r>
      <w:r w:rsidRPr="00491124">
        <w:rPr>
          <w:rFonts w:eastAsia="SimSun"/>
        </w:rPr>
        <w:t xml:space="preserve"> and the Chinese Political Elites Database hosted by National </w:t>
      </w:r>
      <w:proofErr w:type="spellStart"/>
      <w:r w:rsidRPr="00491124">
        <w:rPr>
          <w:rFonts w:eastAsia="SimSun"/>
        </w:rPr>
        <w:t>Chengchi</w:t>
      </w:r>
      <w:proofErr w:type="spellEnd"/>
      <w:r w:rsidRPr="00491124">
        <w:rPr>
          <w:rFonts w:eastAsia="SimSun"/>
        </w:rPr>
        <w:t xml:space="preserve"> University. </w:t>
      </w:r>
    </w:p>
    <w:p w14:paraId="153FD4D6" w14:textId="77777777" w:rsidR="008E0CD3" w:rsidRPr="00491124" w:rsidRDefault="008E0CD3" w:rsidP="008E0CD3">
      <w:pPr>
        <w:ind w:firstLine="720"/>
        <w:rPr>
          <w:rFonts w:eastAsia="SimSun"/>
        </w:rPr>
      </w:pPr>
    </w:p>
    <w:p w14:paraId="4CD4D941" w14:textId="77777777" w:rsidR="008E0CD3" w:rsidRPr="004E203B" w:rsidRDefault="008E0CD3" w:rsidP="008E0CD3">
      <w:pPr>
        <w:rPr>
          <w:rFonts w:eastAsia="SimSun"/>
          <w:i/>
        </w:rPr>
      </w:pPr>
      <w:r w:rsidRPr="00491124">
        <w:rPr>
          <w:rFonts w:eastAsia="SimSun"/>
          <w:i/>
        </w:rPr>
        <w:t xml:space="preserve">Dependent </w:t>
      </w:r>
      <w:r>
        <w:rPr>
          <w:rFonts w:eastAsia="SimSun"/>
          <w:i/>
        </w:rPr>
        <w:t>V</w:t>
      </w:r>
      <w:r w:rsidRPr="00491124">
        <w:rPr>
          <w:rFonts w:eastAsia="SimSun"/>
          <w:i/>
        </w:rPr>
        <w:t>ariable</w:t>
      </w:r>
    </w:p>
    <w:p w14:paraId="1C9F5F58" w14:textId="77777777" w:rsidR="008E0CD3" w:rsidRPr="004E203B" w:rsidRDefault="008E0CD3" w:rsidP="008E0CD3">
      <w:pPr>
        <w:ind w:firstLine="720"/>
        <w:rPr>
          <w:rFonts w:eastAsia="SimSun"/>
        </w:rPr>
      </w:pPr>
      <w:r w:rsidRPr="004E203B">
        <w:rPr>
          <w:rFonts w:eastAsia="SimSun"/>
        </w:rPr>
        <w:t>The dependent variable is political mobility: a core central SOE leader’s probability of leaving his position of executive leadership. As discussed below, we operationalize political mobility in two forms—power continuation and sectoral change—to capture the dynamics of leaders’ careers. Broadly speaking, political mobility has multiple potential outcomes: exit through retirement, death, or corruption removal; transfer to an executive post at another central SOE; or appointment to a position in government at either the local or central level. Given these possible outcomes, staying in position is, naturally, the most common outcome for leaders—leaders maintain their position on average 86 percent of the time</w:t>
      </w:r>
      <w:r>
        <w:rPr>
          <w:rFonts w:eastAsia="SimSun"/>
        </w:rPr>
        <w:t>, while</w:t>
      </w:r>
      <w:r w:rsidRPr="004E203B">
        <w:rPr>
          <w:rFonts w:eastAsia="SimSun"/>
        </w:rPr>
        <w:t xml:space="preserve"> the frequency of other mobility outcomes varies by year (Table 1). Descriptively, there were more transfers between SOEs in the Xi Jinping era (post 2012) than during the Hu Jintao </w:t>
      </w:r>
      <w:r>
        <w:rPr>
          <w:rFonts w:eastAsia="SimSun"/>
        </w:rPr>
        <w:t>period</w:t>
      </w:r>
      <w:r w:rsidRPr="004E203B">
        <w:rPr>
          <w:rFonts w:eastAsia="SimSun"/>
        </w:rPr>
        <w:t>, but transfers to government positions do not show specific trends. Conceptually, we group lateral transfers to another SOE leadership position with staying in one’s position because neither rank nor sector changes.</w:t>
      </w:r>
    </w:p>
    <w:p w14:paraId="2137C131" w14:textId="77777777" w:rsidR="00BE2FFE" w:rsidRDefault="00BE2FFE" w:rsidP="008E0CD3">
      <w:pPr>
        <w:ind w:firstLine="720"/>
        <w:rPr>
          <w:rFonts w:eastAsia="SimSun"/>
        </w:rPr>
      </w:pPr>
    </w:p>
    <w:p w14:paraId="21511C63" w14:textId="77777777" w:rsidR="00BE2FFE" w:rsidRPr="00BE2FFE" w:rsidRDefault="00BE2FFE" w:rsidP="00BE2FFE">
      <w:pPr>
        <w:jc w:val="center"/>
        <w:rPr>
          <w:rFonts w:eastAsia="SimSun"/>
          <w:b/>
          <w:bCs/>
        </w:rPr>
      </w:pPr>
      <w:r w:rsidRPr="00BE2FFE">
        <w:rPr>
          <w:rFonts w:eastAsia="SimSun"/>
          <w:b/>
          <w:bCs/>
        </w:rPr>
        <w:t xml:space="preserve">Table 1: Leadership Mobility Outcomes for China’s Central SOE Leaders </w:t>
      </w:r>
    </w:p>
    <w:p w14:paraId="3FBAB91D" w14:textId="77777777" w:rsidR="00BE2FFE" w:rsidRPr="00F02B68" w:rsidRDefault="00BE2FFE" w:rsidP="00BE2FFE">
      <w:pPr>
        <w:jc w:val="center"/>
        <w:rPr>
          <w:b/>
        </w:rPr>
      </w:pPr>
    </w:p>
    <w:tbl>
      <w:tblPr>
        <w:tblStyle w:val="TableGrid"/>
        <w:tblW w:w="0" w:type="auto"/>
        <w:tblLook w:val="04A0" w:firstRow="1" w:lastRow="0" w:firstColumn="1" w:lastColumn="0" w:noHBand="0" w:noVBand="1"/>
      </w:tblPr>
      <w:tblGrid>
        <w:gridCol w:w="1851"/>
        <w:gridCol w:w="446"/>
        <w:gridCol w:w="446"/>
        <w:gridCol w:w="446"/>
        <w:gridCol w:w="446"/>
        <w:gridCol w:w="446"/>
        <w:gridCol w:w="446"/>
        <w:gridCol w:w="446"/>
        <w:gridCol w:w="446"/>
        <w:gridCol w:w="446"/>
        <w:gridCol w:w="446"/>
        <w:gridCol w:w="446"/>
        <w:gridCol w:w="446"/>
        <w:gridCol w:w="446"/>
        <w:gridCol w:w="446"/>
        <w:gridCol w:w="446"/>
        <w:gridCol w:w="621"/>
      </w:tblGrid>
      <w:tr w:rsidR="00BE2FFE" w:rsidRPr="00D071C1" w14:paraId="3D7BD08D" w14:textId="77777777" w:rsidTr="00315077">
        <w:trPr>
          <w:cantSplit/>
          <w:trHeight w:val="1134"/>
        </w:trPr>
        <w:tc>
          <w:tcPr>
            <w:tcW w:w="0" w:type="auto"/>
          </w:tcPr>
          <w:p w14:paraId="795C5B62"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p>
        </w:tc>
        <w:tc>
          <w:tcPr>
            <w:tcW w:w="0" w:type="auto"/>
            <w:textDirection w:val="btLr"/>
          </w:tcPr>
          <w:p w14:paraId="672AB43D" w14:textId="77777777" w:rsidR="00BE2FFE" w:rsidRPr="00F02B68" w:rsidRDefault="00BE2FFE" w:rsidP="00315077">
            <w:pPr>
              <w:pStyle w:val="ListParagraph"/>
              <w:spacing w:after="0"/>
              <w:ind w:left="113" w:right="113"/>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2003</w:t>
            </w:r>
          </w:p>
        </w:tc>
        <w:tc>
          <w:tcPr>
            <w:tcW w:w="0" w:type="auto"/>
            <w:textDirection w:val="btLr"/>
          </w:tcPr>
          <w:p w14:paraId="6C5168E4" w14:textId="77777777" w:rsidR="00BE2FFE" w:rsidRPr="00F02B68" w:rsidRDefault="00BE2FFE" w:rsidP="00315077">
            <w:pPr>
              <w:pStyle w:val="ListParagraph"/>
              <w:spacing w:after="0"/>
              <w:ind w:left="113" w:right="113"/>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2004</w:t>
            </w:r>
          </w:p>
        </w:tc>
        <w:tc>
          <w:tcPr>
            <w:tcW w:w="0" w:type="auto"/>
            <w:textDirection w:val="btLr"/>
          </w:tcPr>
          <w:p w14:paraId="0A31DFC7" w14:textId="77777777" w:rsidR="00BE2FFE" w:rsidRPr="00F02B68" w:rsidRDefault="00BE2FFE" w:rsidP="00315077">
            <w:pPr>
              <w:pStyle w:val="ListParagraph"/>
              <w:spacing w:after="0"/>
              <w:ind w:left="113" w:right="113"/>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2005</w:t>
            </w:r>
          </w:p>
        </w:tc>
        <w:tc>
          <w:tcPr>
            <w:tcW w:w="0" w:type="auto"/>
            <w:textDirection w:val="btLr"/>
          </w:tcPr>
          <w:p w14:paraId="36628CF7" w14:textId="77777777" w:rsidR="00BE2FFE" w:rsidRPr="00F02B68" w:rsidRDefault="00BE2FFE" w:rsidP="00315077">
            <w:pPr>
              <w:pStyle w:val="ListParagraph"/>
              <w:spacing w:after="0"/>
              <w:ind w:left="113" w:right="113"/>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2006</w:t>
            </w:r>
          </w:p>
        </w:tc>
        <w:tc>
          <w:tcPr>
            <w:tcW w:w="0" w:type="auto"/>
            <w:textDirection w:val="btLr"/>
          </w:tcPr>
          <w:p w14:paraId="7DC6B7FE" w14:textId="77777777" w:rsidR="00BE2FFE" w:rsidRPr="00F02B68" w:rsidRDefault="00BE2FFE" w:rsidP="00315077">
            <w:pPr>
              <w:pStyle w:val="ListParagraph"/>
              <w:spacing w:after="0"/>
              <w:ind w:left="113" w:right="113"/>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2007</w:t>
            </w:r>
          </w:p>
        </w:tc>
        <w:tc>
          <w:tcPr>
            <w:tcW w:w="0" w:type="auto"/>
            <w:textDirection w:val="btLr"/>
          </w:tcPr>
          <w:p w14:paraId="4B8D8A6D" w14:textId="77777777" w:rsidR="00BE2FFE" w:rsidRPr="00F02B68" w:rsidRDefault="00BE2FFE" w:rsidP="00315077">
            <w:pPr>
              <w:pStyle w:val="ListParagraph"/>
              <w:spacing w:after="0"/>
              <w:ind w:left="113" w:right="113"/>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2008</w:t>
            </w:r>
          </w:p>
        </w:tc>
        <w:tc>
          <w:tcPr>
            <w:tcW w:w="0" w:type="auto"/>
            <w:textDirection w:val="btLr"/>
          </w:tcPr>
          <w:p w14:paraId="10045AE2" w14:textId="77777777" w:rsidR="00BE2FFE" w:rsidRPr="00F02B68" w:rsidRDefault="00BE2FFE" w:rsidP="00315077">
            <w:pPr>
              <w:pStyle w:val="ListParagraph"/>
              <w:spacing w:after="0"/>
              <w:ind w:left="113" w:right="113"/>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2009</w:t>
            </w:r>
          </w:p>
        </w:tc>
        <w:tc>
          <w:tcPr>
            <w:tcW w:w="0" w:type="auto"/>
            <w:textDirection w:val="btLr"/>
          </w:tcPr>
          <w:p w14:paraId="121F3711" w14:textId="77777777" w:rsidR="00BE2FFE" w:rsidRPr="00F02B68" w:rsidRDefault="00BE2FFE" w:rsidP="00315077">
            <w:pPr>
              <w:pStyle w:val="ListParagraph"/>
              <w:spacing w:after="0"/>
              <w:ind w:left="113" w:right="113"/>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2010</w:t>
            </w:r>
          </w:p>
        </w:tc>
        <w:tc>
          <w:tcPr>
            <w:tcW w:w="0" w:type="auto"/>
            <w:textDirection w:val="btLr"/>
          </w:tcPr>
          <w:p w14:paraId="52904C09" w14:textId="77777777" w:rsidR="00BE2FFE" w:rsidRPr="00F02B68" w:rsidRDefault="00BE2FFE" w:rsidP="00315077">
            <w:pPr>
              <w:pStyle w:val="ListParagraph"/>
              <w:spacing w:after="0"/>
              <w:ind w:left="113" w:right="113"/>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2011</w:t>
            </w:r>
          </w:p>
        </w:tc>
        <w:tc>
          <w:tcPr>
            <w:tcW w:w="0" w:type="auto"/>
            <w:textDirection w:val="btLr"/>
          </w:tcPr>
          <w:p w14:paraId="04C1CC57" w14:textId="77777777" w:rsidR="00BE2FFE" w:rsidRPr="00F02B68" w:rsidRDefault="00BE2FFE" w:rsidP="00315077">
            <w:pPr>
              <w:pStyle w:val="ListParagraph"/>
              <w:spacing w:after="0"/>
              <w:ind w:left="113" w:right="113"/>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2012</w:t>
            </w:r>
          </w:p>
        </w:tc>
        <w:tc>
          <w:tcPr>
            <w:tcW w:w="0" w:type="auto"/>
            <w:textDirection w:val="btLr"/>
          </w:tcPr>
          <w:p w14:paraId="19C8DBA2" w14:textId="77777777" w:rsidR="00BE2FFE" w:rsidRPr="00F02B68" w:rsidRDefault="00BE2FFE" w:rsidP="00315077">
            <w:pPr>
              <w:pStyle w:val="ListParagraph"/>
              <w:spacing w:after="0"/>
              <w:ind w:left="113" w:right="113"/>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2013</w:t>
            </w:r>
          </w:p>
        </w:tc>
        <w:tc>
          <w:tcPr>
            <w:tcW w:w="0" w:type="auto"/>
            <w:textDirection w:val="btLr"/>
          </w:tcPr>
          <w:p w14:paraId="499E87E7" w14:textId="77777777" w:rsidR="00BE2FFE" w:rsidRPr="00F02B68" w:rsidRDefault="00BE2FFE" w:rsidP="00315077">
            <w:pPr>
              <w:pStyle w:val="ListParagraph"/>
              <w:spacing w:after="0"/>
              <w:ind w:left="113" w:right="113"/>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2014</w:t>
            </w:r>
          </w:p>
        </w:tc>
        <w:tc>
          <w:tcPr>
            <w:tcW w:w="0" w:type="auto"/>
            <w:textDirection w:val="btLr"/>
          </w:tcPr>
          <w:p w14:paraId="61D08FA5" w14:textId="77777777" w:rsidR="00BE2FFE" w:rsidRPr="00F02B68" w:rsidRDefault="00BE2FFE" w:rsidP="00315077">
            <w:pPr>
              <w:pStyle w:val="ListParagraph"/>
              <w:spacing w:after="0"/>
              <w:ind w:left="113" w:right="113"/>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2015</w:t>
            </w:r>
          </w:p>
        </w:tc>
        <w:tc>
          <w:tcPr>
            <w:tcW w:w="0" w:type="auto"/>
            <w:textDirection w:val="btLr"/>
          </w:tcPr>
          <w:p w14:paraId="192387E8" w14:textId="77777777" w:rsidR="00BE2FFE" w:rsidRPr="00F02B68" w:rsidRDefault="00BE2FFE" w:rsidP="00315077">
            <w:pPr>
              <w:pStyle w:val="ListParagraph"/>
              <w:spacing w:after="0"/>
              <w:ind w:left="113" w:right="113"/>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2016</w:t>
            </w:r>
          </w:p>
        </w:tc>
        <w:tc>
          <w:tcPr>
            <w:tcW w:w="0" w:type="auto"/>
            <w:tcBorders>
              <w:right w:val="single" w:sz="4" w:space="0" w:color="auto"/>
            </w:tcBorders>
            <w:textDirection w:val="btLr"/>
          </w:tcPr>
          <w:p w14:paraId="03219664" w14:textId="77777777" w:rsidR="00BE2FFE" w:rsidRPr="00F02B68" w:rsidRDefault="00BE2FFE" w:rsidP="00315077">
            <w:pPr>
              <w:pStyle w:val="ListParagraph"/>
              <w:spacing w:after="0"/>
              <w:ind w:left="113" w:right="113"/>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2017</w:t>
            </w:r>
          </w:p>
        </w:tc>
        <w:tc>
          <w:tcPr>
            <w:tcW w:w="0" w:type="auto"/>
            <w:tcBorders>
              <w:left w:val="single" w:sz="4" w:space="0" w:color="auto"/>
            </w:tcBorders>
            <w:textDirection w:val="btLr"/>
          </w:tcPr>
          <w:p w14:paraId="3A933C44" w14:textId="77777777" w:rsidR="00BE2FFE" w:rsidRPr="00F02B68" w:rsidRDefault="00BE2FFE" w:rsidP="00315077">
            <w:pPr>
              <w:pStyle w:val="ListParagraph"/>
              <w:spacing w:after="0"/>
              <w:ind w:left="113" w:right="113"/>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Total</w:t>
            </w:r>
          </w:p>
        </w:tc>
      </w:tr>
      <w:tr w:rsidR="00BE2FFE" w:rsidRPr="00D071C1" w14:paraId="535E2D4F" w14:textId="77777777" w:rsidTr="00315077">
        <w:tc>
          <w:tcPr>
            <w:tcW w:w="0" w:type="auto"/>
          </w:tcPr>
          <w:p w14:paraId="51FC8584"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Same position</w:t>
            </w:r>
          </w:p>
        </w:tc>
        <w:tc>
          <w:tcPr>
            <w:tcW w:w="0" w:type="auto"/>
          </w:tcPr>
          <w:p w14:paraId="5F9B000E"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54</w:t>
            </w:r>
          </w:p>
        </w:tc>
        <w:tc>
          <w:tcPr>
            <w:tcW w:w="0" w:type="auto"/>
          </w:tcPr>
          <w:p w14:paraId="585DF087"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53</w:t>
            </w:r>
          </w:p>
        </w:tc>
        <w:tc>
          <w:tcPr>
            <w:tcW w:w="0" w:type="auto"/>
          </w:tcPr>
          <w:p w14:paraId="26E143E9"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67</w:t>
            </w:r>
          </w:p>
        </w:tc>
        <w:tc>
          <w:tcPr>
            <w:tcW w:w="0" w:type="auto"/>
          </w:tcPr>
          <w:p w14:paraId="2AF70575"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59</w:t>
            </w:r>
          </w:p>
        </w:tc>
        <w:tc>
          <w:tcPr>
            <w:tcW w:w="0" w:type="auto"/>
          </w:tcPr>
          <w:p w14:paraId="61991BBD"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63</w:t>
            </w:r>
          </w:p>
        </w:tc>
        <w:tc>
          <w:tcPr>
            <w:tcW w:w="0" w:type="auto"/>
          </w:tcPr>
          <w:p w14:paraId="49CA1161"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67</w:t>
            </w:r>
          </w:p>
        </w:tc>
        <w:tc>
          <w:tcPr>
            <w:tcW w:w="0" w:type="auto"/>
          </w:tcPr>
          <w:p w14:paraId="68098968"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76</w:t>
            </w:r>
          </w:p>
        </w:tc>
        <w:tc>
          <w:tcPr>
            <w:tcW w:w="0" w:type="auto"/>
          </w:tcPr>
          <w:p w14:paraId="50E94C72"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76</w:t>
            </w:r>
          </w:p>
        </w:tc>
        <w:tc>
          <w:tcPr>
            <w:tcW w:w="0" w:type="auto"/>
          </w:tcPr>
          <w:p w14:paraId="2126A04F"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83</w:t>
            </w:r>
          </w:p>
        </w:tc>
        <w:tc>
          <w:tcPr>
            <w:tcW w:w="0" w:type="auto"/>
          </w:tcPr>
          <w:p w14:paraId="61E0C9F1"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88</w:t>
            </w:r>
          </w:p>
        </w:tc>
        <w:tc>
          <w:tcPr>
            <w:tcW w:w="0" w:type="auto"/>
          </w:tcPr>
          <w:p w14:paraId="07B01B30"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82</w:t>
            </w:r>
          </w:p>
        </w:tc>
        <w:tc>
          <w:tcPr>
            <w:tcW w:w="0" w:type="auto"/>
          </w:tcPr>
          <w:p w14:paraId="0A0FC4DA"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78</w:t>
            </w:r>
          </w:p>
        </w:tc>
        <w:tc>
          <w:tcPr>
            <w:tcW w:w="0" w:type="auto"/>
          </w:tcPr>
          <w:p w14:paraId="19FF8C74"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70</w:t>
            </w:r>
          </w:p>
        </w:tc>
        <w:tc>
          <w:tcPr>
            <w:tcW w:w="0" w:type="auto"/>
          </w:tcPr>
          <w:p w14:paraId="7BBC0CE3"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75</w:t>
            </w:r>
          </w:p>
        </w:tc>
        <w:tc>
          <w:tcPr>
            <w:tcW w:w="0" w:type="auto"/>
            <w:tcBorders>
              <w:right w:val="single" w:sz="4" w:space="0" w:color="auto"/>
            </w:tcBorders>
          </w:tcPr>
          <w:p w14:paraId="78475CFE"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73</w:t>
            </w:r>
          </w:p>
        </w:tc>
        <w:tc>
          <w:tcPr>
            <w:tcW w:w="0" w:type="auto"/>
            <w:tcBorders>
              <w:left w:val="single" w:sz="4" w:space="0" w:color="auto"/>
            </w:tcBorders>
          </w:tcPr>
          <w:p w14:paraId="64C77847"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1,062</w:t>
            </w:r>
          </w:p>
        </w:tc>
      </w:tr>
      <w:tr w:rsidR="00BE2FFE" w:rsidRPr="00D071C1" w14:paraId="7876E43F" w14:textId="77777777" w:rsidTr="00315077">
        <w:tc>
          <w:tcPr>
            <w:tcW w:w="0" w:type="auto"/>
          </w:tcPr>
          <w:p w14:paraId="5EFD10A8"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Retired</w:t>
            </w:r>
          </w:p>
        </w:tc>
        <w:tc>
          <w:tcPr>
            <w:tcW w:w="0" w:type="auto"/>
          </w:tcPr>
          <w:p w14:paraId="2D74D885"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8</w:t>
            </w:r>
          </w:p>
        </w:tc>
        <w:tc>
          <w:tcPr>
            <w:tcW w:w="0" w:type="auto"/>
          </w:tcPr>
          <w:p w14:paraId="76A337D6"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10</w:t>
            </w:r>
          </w:p>
        </w:tc>
        <w:tc>
          <w:tcPr>
            <w:tcW w:w="0" w:type="auto"/>
          </w:tcPr>
          <w:p w14:paraId="6EA1FE8E"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3</w:t>
            </w:r>
          </w:p>
        </w:tc>
        <w:tc>
          <w:tcPr>
            <w:tcW w:w="0" w:type="auto"/>
          </w:tcPr>
          <w:p w14:paraId="57AF8A7E"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6</w:t>
            </w:r>
          </w:p>
        </w:tc>
        <w:tc>
          <w:tcPr>
            <w:tcW w:w="0" w:type="auto"/>
          </w:tcPr>
          <w:p w14:paraId="0460D5D3"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2</w:t>
            </w:r>
          </w:p>
        </w:tc>
        <w:tc>
          <w:tcPr>
            <w:tcW w:w="0" w:type="auto"/>
          </w:tcPr>
          <w:p w14:paraId="11F7AF29"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4</w:t>
            </w:r>
          </w:p>
        </w:tc>
        <w:tc>
          <w:tcPr>
            <w:tcW w:w="0" w:type="auto"/>
          </w:tcPr>
          <w:p w14:paraId="66077183"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4</w:t>
            </w:r>
          </w:p>
        </w:tc>
        <w:tc>
          <w:tcPr>
            <w:tcW w:w="0" w:type="auto"/>
          </w:tcPr>
          <w:p w14:paraId="469AA294"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4</w:t>
            </w:r>
          </w:p>
        </w:tc>
        <w:tc>
          <w:tcPr>
            <w:tcW w:w="0" w:type="auto"/>
          </w:tcPr>
          <w:p w14:paraId="355BE880"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2</w:t>
            </w:r>
          </w:p>
        </w:tc>
        <w:tc>
          <w:tcPr>
            <w:tcW w:w="0" w:type="auto"/>
          </w:tcPr>
          <w:p w14:paraId="21F33D16"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2</w:t>
            </w:r>
          </w:p>
        </w:tc>
        <w:tc>
          <w:tcPr>
            <w:tcW w:w="0" w:type="auto"/>
          </w:tcPr>
          <w:p w14:paraId="0B7B2C85"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5</w:t>
            </w:r>
          </w:p>
        </w:tc>
        <w:tc>
          <w:tcPr>
            <w:tcW w:w="0" w:type="auto"/>
          </w:tcPr>
          <w:p w14:paraId="0F678E49"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5</w:t>
            </w:r>
          </w:p>
        </w:tc>
        <w:tc>
          <w:tcPr>
            <w:tcW w:w="0" w:type="auto"/>
          </w:tcPr>
          <w:p w14:paraId="12CA4131"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8</w:t>
            </w:r>
          </w:p>
        </w:tc>
        <w:tc>
          <w:tcPr>
            <w:tcW w:w="0" w:type="auto"/>
          </w:tcPr>
          <w:p w14:paraId="7433B0E4"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5</w:t>
            </w:r>
          </w:p>
        </w:tc>
        <w:tc>
          <w:tcPr>
            <w:tcW w:w="0" w:type="auto"/>
            <w:tcBorders>
              <w:right w:val="single" w:sz="4" w:space="0" w:color="auto"/>
            </w:tcBorders>
          </w:tcPr>
          <w:p w14:paraId="7E160E97"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2</w:t>
            </w:r>
          </w:p>
        </w:tc>
        <w:tc>
          <w:tcPr>
            <w:tcW w:w="0" w:type="auto"/>
            <w:tcBorders>
              <w:left w:val="single" w:sz="4" w:space="0" w:color="auto"/>
            </w:tcBorders>
          </w:tcPr>
          <w:p w14:paraId="2F3AA91F"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70</w:t>
            </w:r>
          </w:p>
        </w:tc>
      </w:tr>
      <w:tr w:rsidR="00BE2FFE" w:rsidRPr="00D071C1" w14:paraId="71BDDB08" w14:textId="77777777" w:rsidTr="00315077">
        <w:tc>
          <w:tcPr>
            <w:tcW w:w="0" w:type="auto"/>
          </w:tcPr>
          <w:p w14:paraId="041F4ADD"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SOE Transfer</w:t>
            </w:r>
          </w:p>
        </w:tc>
        <w:tc>
          <w:tcPr>
            <w:tcW w:w="0" w:type="auto"/>
          </w:tcPr>
          <w:p w14:paraId="3F87AB12"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1</w:t>
            </w:r>
          </w:p>
        </w:tc>
        <w:tc>
          <w:tcPr>
            <w:tcW w:w="0" w:type="auto"/>
          </w:tcPr>
          <w:p w14:paraId="52BAA083"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3</w:t>
            </w:r>
          </w:p>
        </w:tc>
        <w:tc>
          <w:tcPr>
            <w:tcW w:w="0" w:type="auto"/>
          </w:tcPr>
          <w:p w14:paraId="5CACACA9"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1</w:t>
            </w:r>
          </w:p>
        </w:tc>
        <w:tc>
          <w:tcPr>
            <w:tcW w:w="0" w:type="auto"/>
          </w:tcPr>
          <w:p w14:paraId="6768BEE3"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2</w:t>
            </w:r>
          </w:p>
        </w:tc>
        <w:tc>
          <w:tcPr>
            <w:tcW w:w="0" w:type="auto"/>
          </w:tcPr>
          <w:p w14:paraId="386FEF18"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1</w:t>
            </w:r>
          </w:p>
        </w:tc>
        <w:tc>
          <w:tcPr>
            <w:tcW w:w="0" w:type="auto"/>
          </w:tcPr>
          <w:p w14:paraId="39344363"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3</w:t>
            </w:r>
          </w:p>
        </w:tc>
        <w:tc>
          <w:tcPr>
            <w:tcW w:w="0" w:type="auto"/>
          </w:tcPr>
          <w:p w14:paraId="2509F460"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tcPr>
          <w:p w14:paraId="09F0BE53"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3</w:t>
            </w:r>
          </w:p>
        </w:tc>
        <w:tc>
          <w:tcPr>
            <w:tcW w:w="0" w:type="auto"/>
          </w:tcPr>
          <w:p w14:paraId="73C23983"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1</w:t>
            </w:r>
          </w:p>
        </w:tc>
        <w:tc>
          <w:tcPr>
            <w:tcW w:w="0" w:type="auto"/>
          </w:tcPr>
          <w:p w14:paraId="7D253BBD"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1</w:t>
            </w:r>
          </w:p>
        </w:tc>
        <w:tc>
          <w:tcPr>
            <w:tcW w:w="0" w:type="auto"/>
          </w:tcPr>
          <w:p w14:paraId="1871CA42"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2</w:t>
            </w:r>
          </w:p>
        </w:tc>
        <w:tc>
          <w:tcPr>
            <w:tcW w:w="0" w:type="auto"/>
          </w:tcPr>
          <w:p w14:paraId="6068FE8C"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6</w:t>
            </w:r>
          </w:p>
        </w:tc>
        <w:tc>
          <w:tcPr>
            <w:tcW w:w="0" w:type="auto"/>
          </w:tcPr>
          <w:p w14:paraId="36FA2005"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12</w:t>
            </w:r>
          </w:p>
        </w:tc>
        <w:tc>
          <w:tcPr>
            <w:tcW w:w="0" w:type="auto"/>
          </w:tcPr>
          <w:p w14:paraId="34AB2D85"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7</w:t>
            </w:r>
          </w:p>
        </w:tc>
        <w:tc>
          <w:tcPr>
            <w:tcW w:w="0" w:type="auto"/>
            <w:tcBorders>
              <w:right w:val="single" w:sz="4" w:space="0" w:color="auto"/>
            </w:tcBorders>
          </w:tcPr>
          <w:p w14:paraId="25FE08A8"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2</w:t>
            </w:r>
          </w:p>
        </w:tc>
        <w:tc>
          <w:tcPr>
            <w:tcW w:w="0" w:type="auto"/>
            <w:tcBorders>
              <w:left w:val="single" w:sz="4" w:space="0" w:color="auto"/>
            </w:tcBorders>
          </w:tcPr>
          <w:p w14:paraId="1D9ED77F"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45</w:t>
            </w:r>
          </w:p>
        </w:tc>
      </w:tr>
      <w:tr w:rsidR="00BE2FFE" w:rsidRPr="00D071C1" w14:paraId="4C5F8699" w14:textId="77777777" w:rsidTr="00315077">
        <w:tc>
          <w:tcPr>
            <w:tcW w:w="0" w:type="auto"/>
          </w:tcPr>
          <w:p w14:paraId="1B88AF14"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Local Gov</w:t>
            </w:r>
            <w:r>
              <w:rPr>
                <w:rFonts w:ascii="Times New Roman" w:eastAsia="SimSun" w:hAnsi="Times New Roman" w:cs="Times New Roman"/>
                <w:sz w:val="18"/>
                <w:szCs w:val="18"/>
              </w:rPr>
              <w:t>t.</w:t>
            </w:r>
            <w:r w:rsidRPr="00F02B68">
              <w:rPr>
                <w:rFonts w:ascii="Times New Roman" w:eastAsia="SimSun" w:hAnsi="Times New Roman" w:cs="Times New Roman"/>
                <w:sz w:val="18"/>
                <w:szCs w:val="18"/>
              </w:rPr>
              <w:t xml:space="preserve"> Transfer</w:t>
            </w:r>
          </w:p>
        </w:tc>
        <w:tc>
          <w:tcPr>
            <w:tcW w:w="0" w:type="auto"/>
          </w:tcPr>
          <w:p w14:paraId="65B15EC4"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2</w:t>
            </w:r>
          </w:p>
        </w:tc>
        <w:tc>
          <w:tcPr>
            <w:tcW w:w="0" w:type="auto"/>
          </w:tcPr>
          <w:p w14:paraId="608D7080"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1</w:t>
            </w:r>
          </w:p>
        </w:tc>
        <w:tc>
          <w:tcPr>
            <w:tcW w:w="0" w:type="auto"/>
          </w:tcPr>
          <w:p w14:paraId="2D21BC89"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tcPr>
          <w:p w14:paraId="024AAC0A"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2</w:t>
            </w:r>
          </w:p>
        </w:tc>
        <w:tc>
          <w:tcPr>
            <w:tcW w:w="0" w:type="auto"/>
          </w:tcPr>
          <w:p w14:paraId="05B6AE10"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3</w:t>
            </w:r>
          </w:p>
        </w:tc>
        <w:tc>
          <w:tcPr>
            <w:tcW w:w="0" w:type="auto"/>
          </w:tcPr>
          <w:p w14:paraId="4C4058A8"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tcPr>
          <w:p w14:paraId="5B960262"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tcPr>
          <w:p w14:paraId="24E64098"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1</w:t>
            </w:r>
          </w:p>
        </w:tc>
        <w:tc>
          <w:tcPr>
            <w:tcW w:w="0" w:type="auto"/>
          </w:tcPr>
          <w:p w14:paraId="3048DCA3"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1</w:t>
            </w:r>
          </w:p>
        </w:tc>
        <w:tc>
          <w:tcPr>
            <w:tcW w:w="0" w:type="auto"/>
          </w:tcPr>
          <w:p w14:paraId="764535C0"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2</w:t>
            </w:r>
          </w:p>
        </w:tc>
        <w:tc>
          <w:tcPr>
            <w:tcW w:w="0" w:type="auto"/>
          </w:tcPr>
          <w:p w14:paraId="582BED1A"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2</w:t>
            </w:r>
          </w:p>
        </w:tc>
        <w:tc>
          <w:tcPr>
            <w:tcW w:w="0" w:type="auto"/>
          </w:tcPr>
          <w:p w14:paraId="2833DD15"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1</w:t>
            </w:r>
          </w:p>
        </w:tc>
        <w:tc>
          <w:tcPr>
            <w:tcW w:w="0" w:type="auto"/>
          </w:tcPr>
          <w:p w14:paraId="68B531EA"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1</w:t>
            </w:r>
          </w:p>
        </w:tc>
        <w:tc>
          <w:tcPr>
            <w:tcW w:w="0" w:type="auto"/>
          </w:tcPr>
          <w:p w14:paraId="0A48BC32"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1</w:t>
            </w:r>
          </w:p>
        </w:tc>
        <w:tc>
          <w:tcPr>
            <w:tcW w:w="0" w:type="auto"/>
            <w:tcBorders>
              <w:right w:val="single" w:sz="4" w:space="0" w:color="auto"/>
            </w:tcBorders>
          </w:tcPr>
          <w:p w14:paraId="23688A01"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tcBorders>
              <w:left w:val="single" w:sz="4" w:space="0" w:color="auto"/>
            </w:tcBorders>
          </w:tcPr>
          <w:p w14:paraId="7C8318E8"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17</w:t>
            </w:r>
          </w:p>
        </w:tc>
      </w:tr>
      <w:tr w:rsidR="00BE2FFE" w:rsidRPr="00D071C1" w14:paraId="2B577900" w14:textId="77777777" w:rsidTr="00315077">
        <w:tc>
          <w:tcPr>
            <w:tcW w:w="0" w:type="auto"/>
          </w:tcPr>
          <w:p w14:paraId="07BB816A"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Central Gov</w:t>
            </w:r>
            <w:r>
              <w:rPr>
                <w:rFonts w:ascii="Times New Roman" w:eastAsia="SimSun" w:hAnsi="Times New Roman" w:cs="Times New Roman"/>
                <w:sz w:val="18"/>
                <w:szCs w:val="18"/>
              </w:rPr>
              <w:t>t.</w:t>
            </w:r>
            <w:r w:rsidRPr="00F02B68">
              <w:rPr>
                <w:rFonts w:ascii="Times New Roman" w:eastAsia="SimSun" w:hAnsi="Times New Roman" w:cs="Times New Roman"/>
                <w:sz w:val="18"/>
                <w:szCs w:val="18"/>
              </w:rPr>
              <w:t xml:space="preserve"> Transfer</w:t>
            </w:r>
          </w:p>
        </w:tc>
        <w:tc>
          <w:tcPr>
            <w:tcW w:w="0" w:type="auto"/>
          </w:tcPr>
          <w:p w14:paraId="3F606D37"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tcPr>
          <w:p w14:paraId="714AA92D"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tcPr>
          <w:p w14:paraId="58490727"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tcPr>
          <w:p w14:paraId="04A43AEA"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2</w:t>
            </w:r>
          </w:p>
        </w:tc>
        <w:tc>
          <w:tcPr>
            <w:tcW w:w="0" w:type="auto"/>
          </w:tcPr>
          <w:p w14:paraId="2B74CB05"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2</w:t>
            </w:r>
          </w:p>
        </w:tc>
        <w:tc>
          <w:tcPr>
            <w:tcW w:w="0" w:type="auto"/>
          </w:tcPr>
          <w:p w14:paraId="3A9D5882"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3</w:t>
            </w:r>
          </w:p>
        </w:tc>
        <w:tc>
          <w:tcPr>
            <w:tcW w:w="0" w:type="auto"/>
          </w:tcPr>
          <w:p w14:paraId="415936F6"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tcPr>
          <w:p w14:paraId="169E5D00"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2</w:t>
            </w:r>
          </w:p>
        </w:tc>
        <w:tc>
          <w:tcPr>
            <w:tcW w:w="0" w:type="auto"/>
          </w:tcPr>
          <w:p w14:paraId="5462967A"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3</w:t>
            </w:r>
          </w:p>
        </w:tc>
        <w:tc>
          <w:tcPr>
            <w:tcW w:w="0" w:type="auto"/>
          </w:tcPr>
          <w:p w14:paraId="6533991D"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3</w:t>
            </w:r>
          </w:p>
        </w:tc>
        <w:tc>
          <w:tcPr>
            <w:tcW w:w="0" w:type="auto"/>
          </w:tcPr>
          <w:p w14:paraId="0785E2BA"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3</w:t>
            </w:r>
          </w:p>
        </w:tc>
        <w:tc>
          <w:tcPr>
            <w:tcW w:w="0" w:type="auto"/>
          </w:tcPr>
          <w:p w14:paraId="3657B058"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1</w:t>
            </w:r>
          </w:p>
        </w:tc>
        <w:tc>
          <w:tcPr>
            <w:tcW w:w="0" w:type="auto"/>
          </w:tcPr>
          <w:p w14:paraId="5D14F157"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tcPr>
          <w:p w14:paraId="077B7A7D"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tcBorders>
              <w:right w:val="single" w:sz="4" w:space="0" w:color="auto"/>
            </w:tcBorders>
          </w:tcPr>
          <w:p w14:paraId="2716C5C2"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3</w:t>
            </w:r>
          </w:p>
        </w:tc>
        <w:tc>
          <w:tcPr>
            <w:tcW w:w="0" w:type="auto"/>
            <w:tcBorders>
              <w:left w:val="single" w:sz="4" w:space="0" w:color="auto"/>
            </w:tcBorders>
          </w:tcPr>
          <w:p w14:paraId="2FAD6DBB"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25</w:t>
            </w:r>
          </w:p>
        </w:tc>
      </w:tr>
      <w:tr w:rsidR="00BE2FFE" w:rsidRPr="00D071C1" w14:paraId="7484A2F7" w14:textId="77777777" w:rsidTr="00315077">
        <w:tc>
          <w:tcPr>
            <w:tcW w:w="0" w:type="auto"/>
          </w:tcPr>
          <w:p w14:paraId="55C9B536"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Died</w:t>
            </w:r>
          </w:p>
        </w:tc>
        <w:tc>
          <w:tcPr>
            <w:tcW w:w="0" w:type="auto"/>
          </w:tcPr>
          <w:p w14:paraId="3639CC02"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tcPr>
          <w:p w14:paraId="62543813"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tcPr>
          <w:p w14:paraId="53F81874"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tcPr>
          <w:p w14:paraId="6FCEF507"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tcPr>
          <w:p w14:paraId="719AF40B"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1</w:t>
            </w:r>
          </w:p>
        </w:tc>
        <w:tc>
          <w:tcPr>
            <w:tcW w:w="0" w:type="auto"/>
          </w:tcPr>
          <w:p w14:paraId="6091366A"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tcPr>
          <w:p w14:paraId="3DE17A6B"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tcPr>
          <w:p w14:paraId="0E2222A8"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tcPr>
          <w:p w14:paraId="4E983AF5"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shd w:val="clear" w:color="auto" w:fill="auto"/>
          </w:tcPr>
          <w:p w14:paraId="411A9E1F"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shd w:val="clear" w:color="auto" w:fill="auto"/>
          </w:tcPr>
          <w:p w14:paraId="3530F24A"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shd w:val="clear" w:color="auto" w:fill="auto"/>
          </w:tcPr>
          <w:p w14:paraId="31CBD15B"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shd w:val="clear" w:color="auto" w:fill="auto"/>
          </w:tcPr>
          <w:p w14:paraId="732B6D0B"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1</w:t>
            </w:r>
          </w:p>
        </w:tc>
        <w:tc>
          <w:tcPr>
            <w:tcW w:w="0" w:type="auto"/>
            <w:shd w:val="clear" w:color="auto" w:fill="auto"/>
          </w:tcPr>
          <w:p w14:paraId="640328CB"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tcBorders>
              <w:right w:val="single" w:sz="4" w:space="0" w:color="auto"/>
            </w:tcBorders>
            <w:shd w:val="clear" w:color="auto" w:fill="auto"/>
          </w:tcPr>
          <w:p w14:paraId="6840DFDE"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tcBorders>
              <w:left w:val="single" w:sz="4" w:space="0" w:color="auto"/>
            </w:tcBorders>
          </w:tcPr>
          <w:p w14:paraId="1BD9259C"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2</w:t>
            </w:r>
          </w:p>
        </w:tc>
      </w:tr>
      <w:tr w:rsidR="00BE2FFE" w:rsidRPr="00D071C1" w14:paraId="1734534A" w14:textId="77777777" w:rsidTr="00315077">
        <w:tc>
          <w:tcPr>
            <w:tcW w:w="0" w:type="auto"/>
          </w:tcPr>
          <w:p w14:paraId="1F6CE102"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Corruption Removal</w:t>
            </w:r>
          </w:p>
        </w:tc>
        <w:tc>
          <w:tcPr>
            <w:tcW w:w="0" w:type="auto"/>
          </w:tcPr>
          <w:p w14:paraId="2F00C632"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tcPr>
          <w:p w14:paraId="4BC0360B"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tcPr>
          <w:p w14:paraId="27E62195"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tcPr>
          <w:p w14:paraId="42A325F3"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tcPr>
          <w:p w14:paraId="07F3A66F"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1</w:t>
            </w:r>
          </w:p>
        </w:tc>
        <w:tc>
          <w:tcPr>
            <w:tcW w:w="0" w:type="auto"/>
          </w:tcPr>
          <w:p w14:paraId="2944AAEB"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tcPr>
          <w:p w14:paraId="4A5DD4DC"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1</w:t>
            </w:r>
          </w:p>
        </w:tc>
        <w:tc>
          <w:tcPr>
            <w:tcW w:w="0" w:type="auto"/>
          </w:tcPr>
          <w:p w14:paraId="0CBBCD73"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tcPr>
          <w:p w14:paraId="1BC559DF"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shd w:val="clear" w:color="auto" w:fill="auto"/>
          </w:tcPr>
          <w:p w14:paraId="7D15701D"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shd w:val="clear" w:color="auto" w:fill="auto"/>
          </w:tcPr>
          <w:p w14:paraId="3A7AF9E7"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2</w:t>
            </w:r>
          </w:p>
        </w:tc>
        <w:tc>
          <w:tcPr>
            <w:tcW w:w="0" w:type="auto"/>
            <w:shd w:val="clear" w:color="auto" w:fill="auto"/>
          </w:tcPr>
          <w:p w14:paraId="1AD1E604"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4</w:t>
            </w:r>
          </w:p>
        </w:tc>
        <w:tc>
          <w:tcPr>
            <w:tcW w:w="0" w:type="auto"/>
            <w:shd w:val="clear" w:color="auto" w:fill="auto"/>
          </w:tcPr>
          <w:p w14:paraId="0171EBCB"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3</w:t>
            </w:r>
          </w:p>
        </w:tc>
        <w:tc>
          <w:tcPr>
            <w:tcW w:w="0" w:type="auto"/>
            <w:shd w:val="clear" w:color="auto" w:fill="auto"/>
          </w:tcPr>
          <w:p w14:paraId="0A6F710A"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tcBorders>
              <w:right w:val="single" w:sz="4" w:space="0" w:color="auto"/>
            </w:tcBorders>
            <w:shd w:val="clear" w:color="auto" w:fill="auto"/>
          </w:tcPr>
          <w:p w14:paraId="70503924"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0</w:t>
            </w:r>
          </w:p>
        </w:tc>
        <w:tc>
          <w:tcPr>
            <w:tcW w:w="0" w:type="auto"/>
            <w:tcBorders>
              <w:left w:val="single" w:sz="4" w:space="0" w:color="auto"/>
            </w:tcBorders>
          </w:tcPr>
          <w:p w14:paraId="50ACFB5F"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11</w:t>
            </w:r>
          </w:p>
        </w:tc>
      </w:tr>
      <w:tr w:rsidR="00BE2FFE" w:rsidRPr="00D071C1" w14:paraId="306D292B" w14:textId="77777777" w:rsidTr="00315077">
        <w:tc>
          <w:tcPr>
            <w:tcW w:w="0" w:type="auto"/>
          </w:tcPr>
          <w:p w14:paraId="4D6C0750" w14:textId="77777777" w:rsidR="00BE2FFE" w:rsidRPr="00F02B68" w:rsidRDefault="00BE2FFE" w:rsidP="00315077">
            <w:pPr>
              <w:pStyle w:val="ListParagraph"/>
              <w:spacing w:after="0"/>
              <w:ind w:left="0"/>
              <w:jc w:val="center"/>
              <w:rPr>
                <w:rFonts w:ascii="Times New Roman" w:eastAsia="SimSun" w:hAnsi="Times New Roman" w:cs="Times New Roman"/>
                <w:b/>
                <w:sz w:val="18"/>
                <w:szCs w:val="18"/>
              </w:rPr>
            </w:pPr>
            <w:r w:rsidRPr="00F02B68">
              <w:rPr>
                <w:rFonts w:ascii="Times New Roman" w:eastAsia="SimSun" w:hAnsi="Times New Roman" w:cs="Times New Roman"/>
                <w:b/>
                <w:sz w:val="18"/>
                <w:szCs w:val="18"/>
              </w:rPr>
              <w:t>Total</w:t>
            </w:r>
          </w:p>
        </w:tc>
        <w:tc>
          <w:tcPr>
            <w:tcW w:w="0" w:type="auto"/>
          </w:tcPr>
          <w:p w14:paraId="44616234"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65</w:t>
            </w:r>
          </w:p>
        </w:tc>
        <w:tc>
          <w:tcPr>
            <w:tcW w:w="0" w:type="auto"/>
          </w:tcPr>
          <w:p w14:paraId="67012C12"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67</w:t>
            </w:r>
          </w:p>
        </w:tc>
        <w:tc>
          <w:tcPr>
            <w:tcW w:w="0" w:type="auto"/>
          </w:tcPr>
          <w:p w14:paraId="33049DCF"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71</w:t>
            </w:r>
          </w:p>
        </w:tc>
        <w:tc>
          <w:tcPr>
            <w:tcW w:w="0" w:type="auto"/>
          </w:tcPr>
          <w:p w14:paraId="5326DDEC"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71</w:t>
            </w:r>
          </w:p>
        </w:tc>
        <w:tc>
          <w:tcPr>
            <w:tcW w:w="0" w:type="auto"/>
          </w:tcPr>
          <w:p w14:paraId="151C8AC4"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73</w:t>
            </w:r>
          </w:p>
        </w:tc>
        <w:tc>
          <w:tcPr>
            <w:tcW w:w="0" w:type="auto"/>
          </w:tcPr>
          <w:p w14:paraId="0304477D"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77</w:t>
            </w:r>
          </w:p>
        </w:tc>
        <w:tc>
          <w:tcPr>
            <w:tcW w:w="0" w:type="auto"/>
          </w:tcPr>
          <w:p w14:paraId="5637486C"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81</w:t>
            </w:r>
          </w:p>
        </w:tc>
        <w:tc>
          <w:tcPr>
            <w:tcW w:w="0" w:type="auto"/>
          </w:tcPr>
          <w:p w14:paraId="21E2320D"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86</w:t>
            </w:r>
          </w:p>
        </w:tc>
        <w:tc>
          <w:tcPr>
            <w:tcW w:w="0" w:type="auto"/>
          </w:tcPr>
          <w:p w14:paraId="7DA6ECE4"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90</w:t>
            </w:r>
          </w:p>
        </w:tc>
        <w:tc>
          <w:tcPr>
            <w:tcW w:w="0" w:type="auto"/>
            <w:shd w:val="clear" w:color="auto" w:fill="auto"/>
          </w:tcPr>
          <w:p w14:paraId="07DAF4AC"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96</w:t>
            </w:r>
          </w:p>
        </w:tc>
        <w:tc>
          <w:tcPr>
            <w:tcW w:w="0" w:type="auto"/>
            <w:shd w:val="clear" w:color="auto" w:fill="auto"/>
          </w:tcPr>
          <w:p w14:paraId="75E9181D"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96</w:t>
            </w:r>
          </w:p>
        </w:tc>
        <w:tc>
          <w:tcPr>
            <w:tcW w:w="0" w:type="auto"/>
            <w:shd w:val="clear" w:color="auto" w:fill="auto"/>
          </w:tcPr>
          <w:p w14:paraId="0A4F0221"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95</w:t>
            </w:r>
          </w:p>
        </w:tc>
        <w:tc>
          <w:tcPr>
            <w:tcW w:w="0" w:type="auto"/>
            <w:shd w:val="clear" w:color="auto" w:fill="auto"/>
          </w:tcPr>
          <w:p w14:paraId="14116D8E"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95</w:t>
            </w:r>
          </w:p>
        </w:tc>
        <w:tc>
          <w:tcPr>
            <w:tcW w:w="0" w:type="auto"/>
            <w:shd w:val="clear" w:color="auto" w:fill="auto"/>
          </w:tcPr>
          <w:p w14:paraId="7BA49196"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89</w:t>
            </w:r>
          </w:p>
        </w:tc>
        <w:tc>
          <w:tcPr>
            <w:tcW w:w="0" w:type="auto"/>
            <w:tcBorders>
              <w:right w:val="single" w:sz="4" w:space="0" w:color="auto"/>
            </w:tcBorders>
            <w:shd w:val="clear" w:color="auto" w:fill="auto"/>
          </w:tcPr>
          <w:p w14:paraId="73721FC0"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80</w:t>
            </w:r>
          </w:p>
        </w:tc>
        <w:tc>
          <w:tcPr>
            <w:tcW w:w="0" w:type="auto"/>
            <w:tcBorders>
              <w:left w:val="single" w:sz="4" w:space="0" w:color="auto"/>
            </w:tcBorders>
          </w:tcPr>
          <w:p w14:paraId="7C38F71E" w14:textId="77777777" w:rsidR="00BE2FFE" w:rsidRPr="00F02B68" w:rsidRDefault="00BE2FFE" w:rsidP="00315077">
            <w:pPr>
              <w:pStyle w:val="ListParagraph"/>
              <w:spacing w:after="0"/>
              <w:ind w:left="0"/>
              <w:jc w:val="center"/>
              <w:rPr>
                <w:rFonts w:ascii="Times New Roman" w:eastAsia="SimSun" w:hAnsi="Times New Roman" w:cs="Times New Roman"/>
                <w:sz w:val="18"/>
                <w:szCs w:val="18"/>
              </w:rPr>
            </w:pPr>
            <w:r w:rsidRPr="00F02B68">
              <w:rPr>
                <w:rFonts w:ascii="Times New Roman" w:eastAsia="SimSun" w:hAnsi="Times New Roman" w:cs="Times New Roman"/>
                <w:sz w:val="18"/>
                <w:szCs w:val="18"/>
              </w:rPr>
              <w:t>1,232</w:t>
            </w:r>
          </w:p>
        </w:tc>
      </w:tr>
    </w:tbl>
    <w:p w14:paraId="2C1091C1" w14:textId="00BBC1DF" w:rsidR="00BE2FFE" w:rsidRPr="00BE2FFE" w:rsidRDefault="00BE2FFE" w:rsidP="00BE2FFE">
      <w:pPr>
        <w:rPr>
          <w:rFonts w:eastAsia="SimSun"/>
          <w:sz w:val="20"/>
          <w:szCs w:val="20"/>
        </w:rPr>
      </w:pPr>
      <w:r w:rsidRPr="00F02B68">
        <w:rPr>
          <w:rFonts w:eastAsia="SimSun"/>
          <w:sz w:val="20"/>
          <w:szCs w:val="20"/>
        </w:rPr>
        <w:t>SOURCE: Authors’ dataset.</w:t>
      </w:r>
    </w:p>
    <w:p w14:paraId="2DD36186" w14:textId="3E094A2D" w:rsidR="00BE2FFE" w:rsidRDefault="00BE2FFE" w:rsidP="008E0CD3">
      <w:pPr>
        <w:ind w:firstLine="720"/>
        <w:rPr>
          <w:rFonts w:eastAsia="SimSun"/>
        </w:rPr>
      </w:pPr>
    </w:p>
    <w:p w14:paraId="056F62BD" w14:textId="77777777" w:rsidR="00BE2FFE" w:rsidRDefault="00BE2FFE" w:rsidP="008E0CD3">
      <w:pPr>
        <w:ind w:firstLine="720"/>
        <w:rPr>
          <w:rFonts w:eastAsia="SimSun"/>
        </w:rPr>
      </w:pPr>
    </w:p>
    <w:p w14:paraId="4E7BF516" w14:textId="12B466AB" w:rsidR="008E0CD3" w:rsidRPr="00D656A6" w:rsidRDefault="008E0CD3" w:rsidP="008E0CD3">
      <w:pPr>
        <w:ind w:firstLine="720"/>
        <w:rPr>
          <w:rFonts w:eastAsia="SimSun"/>
        </w:rPr>
      </w:pPr>
      <w:r w:rsidRPr="004E203B">
        <w:rPr>
          <w:rFonts w:eastAsia="SimSun"/>
        </w:rPr>
        <w:t>Leaders can exit by retiring, dying while in office, or being removed for corruption.</w:t>
      </w:r>
      <w:r w:rsidRPr="004E203B">
        <w:rPr>
          <w:rStyle w:val="FootnoteReference"/>
          <w:rFonts w:eastAsia="SimSun"/>
        </w:rPr>
        <w:footnoteReference w:id="52"/>
      </w:r>
      <w:r w:rsidRPr="004E203B">
        <w:rPr>
          <w:rFonts w:eastAsia="SimSun"/>
        </w:rPr>
        <w:t xml:space="preserve"> Core central SOE leaders are required to retire at the age of 60, although this rule is often </w:t>
      </w:r>
      <w:r w:rsidRPr="00D656A6">
        <w:rPr>
          <w:rFonts w:eastAsia="SimSun"/>
        </w:rPr>
        <w:t>violated.</w:t>
      </w:r>
      <w:r w:rsidRPr="00D656A6">
        <w:rPr>
          <w:rStyle w:val="FootnoteReference"/>
          <w:rFonts w:eastAsia="SimSun"/>
        </w:rPr>
        <w:footnoteReference w:id="53"/>
      </w:r>
      <w:r w:rsidRPr="00D656A6">
        <w:rPr>
          <w:rFonts w:eastAsia="SimSun"/>
        </w:rPr>
        <w:t xml:space="preserve"> Corruption removals occur throughout the study’s timeframe and more frequently under the Xi administration than the Hu administration. Nine of 11 corruption removals occurred from 2013 to 2015, a time when the Central Commission for Discipline Inspection targeted core central SOEs for investigation.</w:t>
      </w:r>
      <w:r w:rsidRPr="00D656A6">
        <w:rPr>
          <w:rStyle w:val="FootnoteReference"/>
          <w:rFonts w:eastAsia="SimSun"/>
        </w:rPr>
        <w:footnoteReference w:id="54"/>
      </w:r>
      <w:r w:rsidRPr="00D656A6">
        <w:rPr>
          <w:rFonts w:eastAsia="SimSun"/>
        </w:rPr>
        <w:t xml:space="preserve"> Retirement may also mask corruption: officials may be pressured into retirement or retire early to avoid a corruption probe, thereby making it difficult to </w:t>
      </w:r>
      <w:r w:rsidRPr="00D656A6">
        <w:rPr>
          <w:rFonts w:eastAsia="SimSun"/>
        </w:rPr>
        <w:lastRenderedPageBreak/>
        <w:t>discern between genuine and forced retirement for disciplinary purposes.</w:t>
      </w:r>
      <w:r w:rsidRPr="00D656A6">
        <w:rPr>
          <w:rStyle w:val="FootnoteReference"/>
          <w:rFonts w:eastAsia="SimSun"/>
        </w:rPr>
        <w:footnoteReference w:id="55"/>
      </w:r>
      <w:r w:rsidRPr="00D656A6">
        <w:rPr>
          <w:rFonts w:eastAsia="SimSun"/>
        </w:rPr>
        <w:t xml:space="preserve"> In our dataset, approximately ten percent of those who retire do so before the age of 60, with the youngest being 54, but reasons for early retirement are unknown. We therefore follow the standard practice in the political mobility literature of employing a single termination category combining retirement, death, and corruption removal into one “exit” outcome. </w:t>
      </w:r>
    </w:p>
    <w:p w14:paraId="04762663" w14:textId="77777777" w:rsidR="008E0CD3" w:rsidRPr="00D656A6" w:rsidRDefault="008E0CD3" w:rsidP="008E0CD3">
      <w:pPr>
        <w:ind w:firstLine="720"/>
        <w:rPr>
          <w:rFonts w:eastAsia="SimSun"/>
        </w:rPr>
      </w:pPr>
      <w:r w:rsidRPr="00D656A6">
        <w:rPr>
          <w:rFonts w:eastAsia="SimSun"/>
        </w:rPr>
        <w:t>It is also important to note that formal demotion due to poor performance is not a common occurrence in the Chinese context. Poorly performing leaders are often not formally demoted or punished but rather transferred laterally to another position of the same rank in a less important unit.</w:t>
      </w:r>
      <w:r w:rsidRPr="00D656A6">
        <w:rPr>
          <w:rStyle w:val="FootnoteReference"/>
          <w:rFonts w:eastAsia="SimSun"/>
        </w:rPr>
        <w:footnoteReference w:id="56"/>
      </w:r>
      <w:r w:rsidRPr="00D656A6">
        <w:rPr>
          <w:rFonts w:eastAsia="SimSun"/>
        </w:rPr>
        <w:t xml:space="preserve"> Within our dataset, only two individuals were “demoted” with a move to a non-core central SOE. It is therefore neither internally valid nor empirically valid to separate out this mobility outcome. </w:t>
      </w:r>
    </w:p>
    <w:p w14:paraId="43AB4BD4" w14:textId="77777777" w:rsidR="008E0CD3" w:rsidRPr="00D656A6" w:rsidRDefault="008E0CD3" w:rsidP="008E0CD3">
      <w:pPr>
        <w:ind w:firstLine="720"/>
        <w:rPr>
          <w:rFonts w:eastAsia="SimSun"/>
        </w:rPr>
      </w:pPr>
      <w:r w:rsidRPr="00D656A6">
        <w:t xml:space="preserve">Another possible political mobility outcome for core central SOE leaders is appointment </w:t>
      </w:r>
      <w:r w:rsidRPr="00D656A6">
        <w:rPr>
          <w:rFonts w:eastAsia="SimSun"/>
        </w:rPr>
        <w:t>to positions in government at either the local or central level. Most movements within state-owned industry or to government are lateral transfers to same-ranked positions (vice-ministerial) rather than a promotion upwards to ministerial rank. However, a small number of core central SOE leaders have ultimately achieved positions of full ministerial rank through government pathways at both the local and central levels, thereby showing that either government pathway does offer a potential route to political promotion.</w:t>
      </w:r>
    </w:p>
    <w:p w14:paraId="1D88CFC5" w14:textId="77777777" w:rsidR="008E0CD3" w:rsidRPr="00635C27" w:rsidRDefault="008E0CD3" w:rsidP="008E0CD3">
      <w:pPr>
        <w:pStyle w:val="ListParagraph"/>
        <w:spacing w:after="0" w:line="240" w:lineRule="auto"/>
        <w:ind w:left="0" w:firstLine="720"/>
        <w:rPr>
          <w:rFonts w:ascii="Times New Roman" w:eastAsia="SimSun" w:hAnsi="Times New Roman" w:cs="Times New Roman"/>
          <w:sz w:val="24"/>
          <w:szCs w:val="24"/>
        </w:rPr>
      </w:pPr>
      <w:r w:rsidRPr="00D656A6">
        <w:rPr>
          <w:rFonts w:ascii="Times New Roman" w:eastAsia="SimSun" w:hAnsi="Times New Roman" w:cs="Times New Roman"/>
          <w:sz w:val="24"/>
          <w:szCs w:val="24"/>
        </w:rPr>
        <w:t xml:space="preserve">We measure political mobility in two forms. First, we measure mobility as a dichotomous variable of </w:t>
      </w:r>
      <w:r w:rsidRPr="00D656A6">
        <w:rPr>
          <w:rFonts w:ascii="Times New Roman" w:eastAsia="SimSun" w:hAnsi="Times New Roman" w:cs="Times New Roman"/>
          <w:i/>
          <w:sz w:val="24"/>
          <w:szCs w:val="24"/>
        </w:rPr>
        <w:t xml:space="preserve">power </w:t>
      </w:r>
      <w:r w:rsidRPr="00635C27">
        <w:rPr>
          <w:rFonts w:ascii="Times New Roman" w:eastAsia="SimSun" w:hAnsi="Times New Roman" w:cs="Times New Roman"/>
          <w:i/>
          <w:sz w:val="24"/>
          <w:szCs w:val="24"/>
        </w:rPr>
        <w:t>continuation</w:t>
      </w:r>
      <w:r w:rsidRPr="00635C27">
        <w:rPr>
          <w:rFonts w:ascii="Times New Roman" w:eastAsia="SimSun" w:hAnsi="Times New Roman" w:cs="Times New Roman"/>
          <w:sz w:val="24"/>
          <w:szCs w:val="24"/>
        </w:rPr>
        <w:t xml:space="preserve">. Remaining in one’s position, moving to a different SOE, or being transferred to the government are scored as one and termination through retirement, death, or corruption removal are scored as zero. This measurement captures who gets to “stay in the game” rather than exiting the political system, which is generally seen as more desirable because power continuation allows continued access to resources and power. Second, we separate out different mobility outcomes to disaggregate the various ways in which leaders maintain power. A three-category variable, </w:t>
      </w:r>
      <w:r w:rsidRPr="00635C27">
        <w:rPr>
          <w:rFonts w:ascii="Times New Roman" w:eastAsia="SimSun" w:hAnsi="Times New Roman" w:cs="Times New Roman"/>
          <w:i/>
          <w:sz w:val="24"/>
          <w:szCs w:val="24"/>
        </w:rPr>
        <w:t>mobility</w:t>
      </w:r>
      <w:r w:rsidRPr="00635C27">
        <w:rPr>
          <w:rFonts w:ascii="Times New Roman" w:eastAsia="SimSun" w:hAnsi="Times New Roman" w:cs="Times New Roman"/>
          <w:sz w:val="24"/>
          <w:szCs w:val="24"/>
        </w:rPr>
        <w:t>, captures sectoral changes by measuring outcomes as exit, stay in the state-owned economy, or transfer to a government position. While moving to the government is the only pathway to political promotion, we use a categorical variable because we do not assume that staying in the state-owned sector or moving to government are intrinsically ranked as better or worse outcomes for leaders.</w:t>
      </w:r>
    </w:p>
    <w:p w14:paraId="2497848C" w14:textId="77777777" w:rsidR="008E0CD3" w:rsidRPr="00635C27" w:rsidRDefault="008E0CD3" w:rsidP="008E0CD3">
      <w:pPr>
        <w:pStyle w:val="ListParagraph"/>
        <w:spacing w:after="0" w:line="240" w:lineRule="auto"/>
        <w:ind w:left="0" w:firstLine="720"/>
        <w:rPr>
          <w:rFonts w:ascii="Times New Roman" w:eastAsia="SimSun" w:hAnsi="Times New Roman" w:cs="Times New Roman"/>
          <w:sz w:val="24"/>
          <w:szCs w:val="24"/>
        </w:rPr>
      </w:pPr>
    </w:p>
    <w:p w14:paraId="63C4A960" w14:textId="77777777" w:rsidR="008E0CD3" w:rsidRPr="00635C27" w:rsidRDefault="008E0CD3" w:rsidP="008E0CD3">
      <w:pPr>
        <w:rPr>
          <w:i/>
        </w:rPr>
      </w:pPr>
      <w:r w:rsidRPr="00635C27">
        <w:rPr>
          <w:i/>
        </w:rPr>
        <w:t>Independent Variables</w:t>
      </w:r>
    </w:p>
    <w:p w14:paraId="0AA2C2C3" w14:textId="77777777" w:rsidR="008E0CD3" w:rsidRPr="00011196" w:rsidRDefault="008E0CD3" w:rsidP="008E0CD3">
      <w:pPr>
        <w:ind w:firstLine="720"/>
        <w:rPr>
          <w:rFonts w:eastAsia="SimSun"/>
        </w:rPr>
      </w:pPr>
      <w:r w:rsidRPr="00635C27">
        <w:rPr>
          <w:rFonts w:eastAsia="SimSun"/>
        </w:rPr>
        <w:t>We assess core central SOEs’ economic performance by measuring the performance of their largest (by assets) publicly listed subsidiary in each year.</w:t>
      </w:r>
      <w:r w:rsidRPr="00635C27">
        <w:rPr>
          <w:rStyle w:val="FootnoteReference"/>
          <w:rFonts w:eastAsia="SimSun"/>
        </w:rPr>
        <w:footnoteReference w:id="57"/>
      </w:r>
      <w:r w:rsidRPr="00635C27">
        <w:rPr>
          <w:rFonts w:eastAsia="SimSun"/>
        </w:rPr>
        <w:t xml:space="preserve"> Since these publicly listed subsidiaries typically contain the best quality productive assets from core central SOEs, their performance represents a conservative upper bound for that of the overall enterprise group. While performance data for entire enterprise groups would be preferred, this data is largely unavailable because </w:t>
      </w:r>
      <w:r>
        <w:rPr>
          <w:rFonts w:eastAsia="SimSun"/>
        </w:rPr>
        <w:t xml:space="preserve">Chinese </w:t>
      </w:r>
      <w:r w:rsidRPr="00635C27">
        <w:rPr>
          <w:rFonts w:eastAsia="SimSun"/>
        </w:rPr>
        <w:t xml:space="preserve">regulatory authorities do not require its disclosure. We follow the literature to take return on assets (ROA) for the largest listed subsidiary as our primary measure </w:t>
      </w:r>
      <w:r w:rsidRPr="00635C27">
        <w:rPr>
          <w:rFonts w:eastAsia="SimSun"/>
        </w:rPr>
        <w:lastRenderedPageBreak/>
        <w:t>of firm performance.</w:t>
      </w:r>
      <w:r w:rsidRPr="00011196">
        <w:rPr>
          <w:rStyle w:val="FootnoteReference"/>
          <w:rFonts w:eastAsia="SimSun"/>
        </w:rPr>
        <w:footnoteReference w:id="58"/>
      </w:r>
      <w:r w:rsidRPr="00635C27">
        <w:rPr>
          <w:rFonts w:eastAsia="SimSun"/>
        </w:rPr>
        <w:t xml:space="preserve"> Average ROA for the core central SOEs over time is presented in Figure 3. Variation in firm performance occurs both across firms and over time, with greatest variation among firms during financial downturns and stock market crises. To reduce the variation in performance measures due to </w:t>
      </w:r>
      <w:r>
        <w:rPr>
          <w:rFonts w:eastAsia="SimSun"/>
        </w:rPr>
        <w:t>these factors</w:t>
      </w:r>
      <w:r w:rsidRPr="00011196">
        <w:rPr>
          <w:rFonts w:eastAsia="SimSun"/>
        </w:rPr>
        <w:t xml:space="preserve">, we also include a differenced measure of ROA. Alternative measures of firm performance, including negative performance, are discussed below. </w:t>
      </w:r>
    </w:p>
    <w:p w14:paraId="45BB5EFF" w14:textId="77777777" w:rsidR="00BE2FFE" w:rsidRDefault="00BE2FFE" w:rsidP="008E0CD3">
      <w:pPr>
        <w:snapToGrid w:val="0"/>
        <w:rPr>
          <w:rFonts w:eastAsia="SimSun"/>
        </w:rPr>
      </w:pPr>
    </w:p>
    <w:p w14:paraId="59BB5CAC" w14:textId="33FF0143" w:rsidR="00BE2FFE" w:rsidRPr="00BE2FFE" w:rsidRDefault="00BE2FFE" w:rsidP="00BE2FFE">
      <w:pPr>
        <w:jc w:val="center"/>
        <w:rPr>
          <w:b/>
          <w:bCs/>
          <w:sz w:val="23"/>
          <w:szCs w:val="23"/>
        </w:rPr>
      </w:pPr>
      <w:r w:rsidRPr="00BE2FFE">
        <w:rPr>
          <w:b/>
          <w:bCs/>
          <w:sz w:val="23"/>
          <w:szCs w:val="23"/>
        </w:rPr>
        <w:t>Figure 3: Average ROA for Central SOE Largest Subsidiary Over Time, with 95% Confidence Intervals</w:t>
      </w:r>
    </w:p>
    <w:p w14:paraId="03DF2A4C" w14:textId="77777777" w:rsidR="00BE2FFE" w:rsidRPr="00F02B68" w:rsidRDefault="00BE2FFE" w:rsidP="00BE2FFE">
      <w:pPr>
        <w:jc w:val="center"/>
        <w:rPr>
          <w:sz w:val="23"/>
          <w:szCs w:val="23"/>
        </w:rPr>
      </w:pPr>
      <w:r w:rsidRPr="00F02B68">
        <w:rPr>
          <w:noProof/>
        </w:rPr>
        <w:drawing>
          <wp:inline distT="0" distB="0" distL="0" distR="0" wp14:anchorId="2B00F54F" wp14:editId="624E4DDB">
            <wp:extent cx="4759037" cy="3461488"/>
            <wp:effectExtent l="0" t="0" r="3810" b="5715"/>
            <wp:docPr id="3" name="Picture 3"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3.tif"/>
                    <pic:cNvPicPr/>
                  </pic:nvPicPr>
                  <pic:blipFill>
                    <a:blip r:embed="rId17">
                      <a:extLst>
                        <a:ext uri="{28A0092B-C50C-407E-A947-70E740481C1C}">
                          <a14:useLocalDpi xmlns:a14="http://schemas.microsoft.com/office/drawing/2010/main" val="0"/>
                        </a:ext>
                      </a:extLst>
                    </a:blip>
                    <a:stretch>
                      <a:fillRect/>
                    </a:stretch>
                  </pic:blipFill>
                  <pic:spPr>
                    <a:xfrm>
                      <a:off x="0" y="0"/>
                      <a:ext cx="4815629" cy="3502650"/>
                    </a:xfrm>
                    <a:prstGeom prst="rect">
                      <a:avLst/>
                    </a:prstGeom>
                  </pic:spPr>
                </pic:pic>
              </a:graphicData>
            </a:graphic>
          </wp:inline>
        </w:drawing>
      </w:r>
    </w:p>
    <w:p w14:paraId="48B9AA8B" w14:textId="77777777" w:rsidR="00BE2FFE" w:rsidRDefault="00BE2FFE" w:rsidP="008E0CD3">
      <w:pPr>
        <w:snapToGrid w:val="0"/>
        <w:rPr>
          <w:rFonts w:eastAsia="SimSun"/>
        </w:rPr>
      </w:pPr>
    </w:p>
    <w:p w14:paraId="77643111" w14:textId="77777777" w:rsidR="00BE2FFE" w:rsidRDefault="00BE2FFE" w:rsidP="008E0CD3">
      <w:pPr>
        <w:snapToGrid w:val="0"/>
        <w:rPr>
          <w:rFonts w:eastAsia="SimSun"/>
        </w:rPr>
      </w:pPr>
    </w:p>
    <w:p w14:paraId="72BF0A56" w14:textId="15D0694B" w:rsidR="008E0CD3" w:rsidRPr="00011196" w:rsidRDefault="008E0CD3" w:rsidP="008E0CD3">
      <w:pPr>
        <w:snapToGrid w:val="0"/>
        <w:rPr>
          <w:rFonts w:eastAsia="SimSun"/>
        </w:rPr>
      </w:pPr>
      <w:r w:rsidRPr="00011196">
        <w:rPr>
          <w:rFonts w:eastAsia="SimSun"/>
        </w:rPr>
        <w:tab/>
        <w:t>The second key independent variable is political connectedness. Measures of political connectedness are hotly debated and include birthplace networks</w:t>
      </w:r>
      <w:r>
        <w:rPr>
          <w:rFonts w:eastAsia="SimSun"/>
        </w:rPr>
        <w:t>,</w:t>
      </w:r>
      <w:r w:rsidRPr="00011196">
        <w:rPr>
          <w:rFonts w:eastAsia="SimSun"/>
        </w:rPr>
        <w:t xml:space="preserve"> occupational proximity</w:t>
      </w:r>
      <w:r>
        <w:rPr>
          <w:rFonts w:eastAsia="SimSun"/>
        </w:rPr>
        <w:t xml:space="preserve"> (</w:t>
      </w:r>
      <w:r w:rsidRPr="00011196">
        <w:rPr>
          <w:rFonts w:eastAsia="SimSun"/>
        </w:rPr>
        <w:t>defined as work and military experience in the same place at the same time</w:t>
      </w:r>
      <w:r>
        <w:rPr>
          <w:rFonts w:eastAsia="SimSun"/>
        </w:rPr>
        <w:t>),</w:t>
      </w:r>
      <w:r w:rsidRPr="00011196">
        <w:rPr>
          <w:rFonts w:eastAsia="SimSun"/>
        </w:rPr>
        <w:t xml:space="preserve"> co-worker networks</w:t>
      </w:r>
      <w:r>
        <w:rPr>
          <w:rFonts w:eastAsia="SimSun"/>
        </w:rPr>
        <w:t>,</w:t>
      </w:r>
      <w:r w:rsidRPr="00011196">
        <w:rPr>
          <w:rFonts w:eastAsia="SimSun"/>
        </w:rPr>
        <w:t xml:space="preserve"> and patronage ties.</w:t>
      </w:r>
      <w:r w:rsidRPr="00011196">
        <w:rPr>
          <w:rStyle w:val="FootnoteReference"/>
          <w:rFonts w:eastAsia="SimSun"/>
        </w:rPr>
        <w:footnoteReference w:id="59"/>
      </w:r>
      <w:r w:rsidRPr="00011196">
        <w:rPr>
          <w:rFonts w:eastAsia="SimSun"/>
        </w:rPr>
        <w:t xml:space="preserve"> We conceptualize political connectedness as patron-client relations. A core central SOE leader is considered politically connected to a patron if the superior during whose tenure he was initially appointed is still in office. For example, a core central SOE leader appointed in 2003 is considered politically connected to Hu Jintao, who was Party Secretary at the time of appointment, until 2012 when Hu leaves office and Xi Jinping assumes leadership. The logic of this measurement is that initial appointment is more likely to signal connections and patronage relationships than more diffuse birthplace or workplace-based ties.</w:t>
      </w:r>
      <w:r w:rsidRPr="00011196">
        <w:rPr>
          <w:rStyle w:val="FootnoteReference"/>
          <w:rFonts w:eastAsia="SimSun"/>
        </w:rPr>
        <w:footnoteReference w:id="60"/>
      </w:r>
      <w:r w:rsidRPr="00011196">
        <w:rPr>
          <w:rFonts w:eastAsia="SimSun"/>
        </w:rPr>
        <w:t xml:space="preserve"> </w:t>
      </w:r>
    </w:p>
    <w:p w14:paraId="25FC8599" w14:textId="77777777" w:rsidR="008E0CD3" w:rsidRPr="00011196" w:rsidRDefault="008E0CD3" w:rsidP="008E0CD3">
      <w:pPr>
        <w:snapToGrid w:val="0"/>
        <w:ind w:firstLine="720"/>
        <w:rPr>
          <w:rFonts w:eastAsia="SimSun"/>
        </w:rPr>
      </w:pPr>
      <w:r w:rsidRPr="00011196">
        <w:rPr>
          <w:rFonts w:eastAsia="SimSun"/>
        </w:rPr>
        <w:lastRenderedPageBreak/>
        <w:t xml:space="preserve"> We measure patron</w:t>
      </w:r>
      <w:r>
        <w:rPr>
          <w:rFonts w:eastAsia="SimSun"/>
        </w:rPr>
        <w:t>age</w:t>
      </w:r>
      <w:r w:rsidRPr="00011196">
        <w:rPr>
          <w:rFonts w:eastAsia="SimSun"/>
        </w:rPr>
        <w:t xml:space="preserve"> ties at three levels: the national administration (Hu or Xi), SASAC (particular SASAC directors), or the COD (particular COD directors).</w:t>
      </w:r>
      <w:r w:rsidRPr="00011196">
        <w:rPr>
          <w:rStyle w:val="FootnoteReference"/>
          <w:rFonts w:eastAsia="SimSun"/>
        </w:rPr>
        <w:footnoteReference w:id="61"/>
      </w:r>
      <w:r w:rsidRPr="00011196">
        <w:rPr>
          <w:rFonts w:eastAsia="SimSun"/>
        </w:rPr>
        <w:t xml:space="preserve"> Elite factions linked to China’s top leader may be politically salient, especially for central-level officials like core central SOE heads. Economically, SASAC is responsible for overseeing and assessing core central SOEs’ economic performance and grading their executives annually from A to E, which presumably affects their political mobility prospects. Politically, the COD exercises ultimate decision-making authority over core central SOE leaders’ appointment, transfer, and removal. At each of these three levels, changes in individual patrons might </w:t>
      </w:r>
      <w:r>
        <w:rPr>
          <w:rFonts w:eastAsia="SimSun"/>
        </w:rPr>
        <w:t>affect</w:t>
      </w:r>
      <w:r w:rsidRPr="00011196">
        <w:rPr>
          <w:rFonts w:eastAsia="SimSun"/>
        </w:rPr>
        <w:t xml:space="preserve"> political mobility because different leaders may have varying priorities and approaches to personnel management. We do not assume that core central SOE leaders know their patrons personally, although this is quite likely given their status as central-level officials.</w:t>
      </w:r>
      <w:r w:rsidRPr="00011196">
        <w:rPr>
          <w:rStyle w:val="FootnoteReference"/>
          <w:rFonts w:eastAsia="SimSun"/>
        </w:rPr>
        <w:footnoteReference w:id="62"/>
      </w:r>
    </w:p>
    <w:p w14:paraId="639DF7E6" w14:textId="77777777" w:rsidR="008E0CD3" w:rsidRPr="00011196" w:rsidRDefault="008E0CD3" w:rsidP="008E0CD3">
      <w:pPr>
        <w:snapToGrid w:val="0"/>
        <w:rPr>
          <w:rFonts w:eastAsia="SimSun"/>
        </w:rPr>
      </w:pPr>
      <w:r w:rsidRPr="00011196">
        <w:rPr>
          <w:rFonts w:eastAsia="SimSun"/>
        </w:rPr>
        <w:tab/>
        <w:t xml:space="preserve">The third set of measures captures professional experience. First, we measure whether a core central SOE leader has any previous work experience in a government or Party position at the local or central level prior to </w:t>
      </w:r>
      <w:r>
        <w:rPr>
          <w:rFonts w:eastAsia="SimSun"/>
        </w:rPr>
        <w:t>his</w:t>
      </w:r>
      <w:r w:rsidRPr="00011196">
        <w:rPr>
          <w:rFonts w:eastAsia="SimSun"/>
        </w:rPr>
        <w:t xml:space="preserve"> SOE leadership position. Previous experience is measured as a dichotomous variable disaggregated by level: central and local. Professional experience is also measured at the firm level through leadership tenure. Longer leadership tenure may be a boon to political advancement as it signals depth of leadership experience.  </w:t>
      </w:r>
    </w:p>
    <w:p w14:paraId="3E3C3109" w14:textId="77777777" w:rsidR="008E0CD3" w:rsidRPr="00011196" w:rsidRDefault="008E0CD3" w:rsidP="008E0CD3">
      <w:pPr>
        <w:snapToGrid w:val="0"/>
        <w:rPr>
          <w:rFonts w:eastAsia="SimSun"/>
        </w:rPr>
      </w:pPr>
    </w:p>
    <w:p w14:paraId="2631F120" w14:textId="77777777" w:rsidR="008E0CD3" w:rsidRPr="00011196" w:rsidRDefault="008E0CD3" w:rsidP="008E0CD3">
      <w:pPr>
        <w:snapToGrid w:val="0"/>
        <w:rPr>
          <w:rFonts w:eastAsia="SimSun"/>
          <w:i/>
        </w:rPr>
      </w:pPr>
      <w:r w:rsidRPr="00011196">
        <w:rPr>
          <w:rFonts w:eastAsia="SimSun"/>
          <w:i/>
        </w:rPr>
        <w:t xml:space="preserve">Control </w:t>
      </w:r>
      <w:r>
        <w:rPr>
          <w:rFonts w:eastAsia="SimSun"/>
          <w:i/>
        </w:rPr>
        <w:t>V</w:t>
      </w:r>
      <w:r w:rsidRPr="00011196">
        <w:rPr>
          <w:rFonts w:eastAsia="SimSun"/>
          <w:i/>
        </w:rPr>
        <w:t>ariables</w:t>
      </w:r>
    </w:p>
    <w:p w14:paraId="64FC1DB5" w14:textId="77777777" w:rsidR="008E0CD3" w:rsidRPr="00011196" w:rsidRDefault="008E0CD3" w:rsidP="008E0CD3">
      <w:pPr>
        <w:snapToGrid w:val="0"/>
        <w:ind w:firstLine="720"/>
        <w:rPr>
          <w:rFonts w:eastAsia="SimSun"/>
        </w:rPr>
      </w:pPr>
      <w:r w:rsidRPr="00011196">
        <w:rPr>
          <w:rFonts w:eastAsia="SimSun"/>
        </w:rPr>
        <w:t xml:space="preserve">Previous professional experience is one control of particular interest. We use dichotomous variables for experience in local or central government and a continuous variable for number of years in one’s leadership position. </w:t>
      </w:r>
    </w:p>
    <w:p w14:paraId="370C94BA" w14:textId="77777777" w:rsidR="008E0CD3" w:rsidRPr="00A3702F" w:rsidRDefault="008E0CD3" w:rsidP="008E0CD3">
      <w:pPr>
        <w:snapToGrid w:val="0"/>
        <w:ind w:firstLine="720"/>
        <w:rPr>
          <w:rFonts w:eastAsia="SimSun"/>
        </w:rPr>
      </w:pPr>
      <w:r w:rsidRPr="00011196">
        <w:rPr>
          <w:rFonts w:eastAsia="SimSun"/>
        </w:rPr>
        <w:t xml:space="preserve">There are </w:t>
      </w:r>
      <w:r w:rsidRPr="00A3702F">
        <w:rPr>
          <w:rFonts w:eastAsia="SimSun"/>
        </w:rPr>
        <w:t>four sets of control variables for this analysis: individual traits, Party training, firm traits, and time period controls. Individual traits include age and education. Because the mandatory retirement age is 60 for officials of vice-ministerial rank, we expect age to be positively correlated with exit. Age squared is included to capture any non-linear effects of age.</w:t>
      </w:r>
      <w:r w:rsidRPr="00A3702F">
        <w:rPr>
          <w:rStyle w:val="FootnoteReference"/>
          <w:rFonts w:eastAsia="SimSun"/>
        </w:rPr>
        <w:footnoteReference w:id="63"/>
      </w:r>
      <w:r w:rsidRPr="00A3702F">
        <w:rPr>
          <w:rFonts w:eastAsia="SimSun"/>
        </w:rPr>
        <w:t xml:space="preserve"> Education may increase the probability of promotion, because of the Party’s ongoing efforts to professionalize cadres.</w:t>
      </w:r>
      <w:r w:rsidRPr="00A3702F">
        <w:rPr>
          <w:rStyle w:val="FootnoteReference"/>
          <w:rFonts w:eastAsia="SimSun"/>
        </w:rPr>
        <w:t xml:space="preserve"> </w:t>
      </w:r>
      <w:r w:rsidRPr="00A3702F">
        <w:rPr>
          <w:rFonts w:eastAsia="SimSun"/>
        </w:rPr>
        <w:t xml:space="preserve">We therefore include an indicator variable for graduate degree (MA or Ph.D.) to assess the effects of advanced educational attainment. Some leading officials participate in formal training courses for mid-career cadres at the Central Party School. These schools provide a structured means of socializing officials within the Party and potential networking opportunities. We also include industry fixed effects. Firms are identified by their industry according to internal SASAC </w:t>
      </w:r>
      <w:r>
        <w:rPr>
          <w:rFonts w:eastAsia="SimSun"/>
        </w:rPr>
        <w:t>classifications</w:t>
      </w:r>
      <w:r w:rsidRPr="00A3702F">
        <w:rPr>
          <w:rFonts w:eastAsia="SimSun"/>
        </w:rPr>
        <w:t xml:space="preserve"> to control for differential treatment of firms by industry. Finally, we include an indicator variable for regime effect measuring Xi Jinping’s administration (the first term in 2013-2017). </w:t>
      </w:r>
    </w:p>
    <w:p w14:paraId="78B27397" w14:textId="77777777" w:rsidR="008E0CD3" w:rsidRPr="00A3702F" w:rsidRDefault="008E0CD3" w:rsidP="008E0CD3">
      <w:pPr>
        <w:snapToGrid w:val="0"/>
        <w:ind w:firstLine="720"/>
        <w:rPr>
          <w:rFonts w:eastAsia="SimSun"/>
        </w:rPr>
      </w:pPr>
      <w:r w:rsidRPr="00A3702F">
        <w:rPr>
          <w:rFonts w:eastAsia="SimSun"/>
        </w:rPr>
        <w:t>A summary statistics table is available in the Appendix (Table A3).</w:t>
      </w:r>
    </w:p>
    <w:p w14:paraId="710967C1" w14:textId="710DA418" w:rsidR="008E0CD3" w:rsidRDefault="008E0CD3" w:rsidP="008E0CD3">
      <w:pPr>
        <w:snapToGrid w:val="0"/>
        <w:ind w:firstLine="720"/>
        <w:rPr>
          <w:rFonts w:eastAsia="SimSun"/>
        </w:rPr>
      </w:pPr>
    </w:p>
    <w:p w14:paraId="335D2F3F" w14:textId="18EA478D" w:rsidR="00BE2FFE" w:rsidRDefault="00BE2FFE" w:rsidP="008E0CD3">
      <w:pPr>
        <w:snapToGrid w:val="0"/>
        <w:ind w:firstLine="720"/>
        <w:rPr>
          <w:rFonts w:eastAsia="SimSun"/>
        </w:rPr>
      </w:pPr>
    </w:p>
    <w:p w14:paraId="6EC7A085" w14:textId="7B660646" w:rsidR="00BE2FFE" w:rsidRDefault="00BE2FFE" w:rsidP="008E0CD3">
      <w:pPr>
        <w:snapToGrid w:val="0"/>
        <w:ind w:firstLine="720"/>
        <w:rPr>
          <w:rFonts w:eastAsia="SimSun"/>
        </w:rPr>
      </w:pPr>
    </w:p>
    <w:p w14:paraId="140BA44B" w14:textId="77777777" w:rsidR="00BE2FFE" w:rsidRPr="00A3702F" w:rsidRDefault="00BE2FFE" w:rsidP="008E0CD3">
      <w:pPr>
        <w:snapToGrid w:val="0"/>
        <w:ind w:firstLine="720"/>
        <w:rPr>
          <w:rFonts w:eastAsia="SimSun"/>
        </w:rPr>
      </w:pPr>
    </w:p>
    <w:p w14:paraId="10DE59B7" w14:textId="77777777" w:rsidR="008E0CD3" w:rsidRPr="00A3702F" w:rsidRDefault="008E0CD3" w:rsidP="008E0CD3">
      <w:pPr>
        <w:snapToGrid w:val="0"/>
      </w:pPr>
      <w:r w:rsidRPr="00A3702F">
        <w:rPr>
          <w:i/>
        </w:rPr>
        <w:lastRenderedPageBreak/>
        <w:t xml:space="preserve">Modeling </w:t>
      </w:r>
      <w:r>
        <w:rPr>
          <w:i/>
        </w:rPr>
        <w:t>S</w:t>
      </w:r>
      <w:r w:rsidRPr="00A3702F">
        <w:rPr>
          <w:i/>
        </w:rPr>
        <w:t>trategy</w:t>
      </w:r>
    </w:p>
    <w:p w14:paraId="3D248C09" w14:textId="77777777" w:rsidR="008E0CD3" w:rsidRPr="00A3702F" w:rsidRDefault="008E0CD3" w:rsidP="008E0CD3">
      <w:pPr>
        <w:snapToGrid w:val="0"/>
        <w:ind w:firstLine="720"/>
        <w:rPr>
          <w:rFonts w:eastAsia="SimSun"/>
        </w:rPr>
      </w:pPr>
      <w:r w:rsidRPr="00A3702F">
        <w:rPr>
          <w:rFonts w:eastAsia="SimSun"/>
        </w:rPr>
        <w:t>We implement a series of logit and multinomial logits to assess the relative determinants of political mobility.</w:t>
      </w:r>
      <w:r w:rsidRPr="00A3702F">
        <w:rPr>
          <w:rStyle w:val="FootnoteReference"/>
          <w:rFonts w:eastAsia="SimSun"/>
        </w:rPr>
        <w:footnoteReference w:id="64"/>
      </w:r>
      <w:r w:rsidRPr="00A3702F">
        <w:rPr>
          <w:rFonts w:eastAsia="SimSun"/>
        </w:rPr>
        <w:t xml:space="preserve"> In the initial set of models, the dependent variable is a discrete binary variable of power continuation, where 1 indicates staying in one’s position or a subsequent appointment to another executive or government post and 0 indicates exit (retirements, deaths, and corruption removals). The second set of models conceptualizes the dependent variable as a three-category mobility measure, where -1 indicates exit</w:t>
      </w:r>
      <w:r>
        <w:rPr>
          <w:rFonts w:eastAsia="SimSun"/>
        </w:rPr>
        <w:t>,</w:t>
      </w:r>
      <w:r w:rsidRPr="00A3702F">
        <w:rPr>
          <w:rFonts w:eastAsia="SimSun"/>
        </w:rPr>
        <w:t xml:space="preserve"> 0 indicates staying in position</w:t>
      </w:r>
      <w:r>
        <w:rPr>
          <w:rFonts w:eastAsia="SimSun"/>
        </w:rPr>
        <w:t>,</w:t>
      </w:r>
      <w:r w:rsidRPr="00A3702F">
        <w:rPr>
          <w:rFonts w:eastAsia="SimSun"/>
        </w:rPr>
        <w:t xml:space="preserve"> and 1 indicates lateral movement to another central-level SOE position or any government position. </w:t>
      </w:r>
    </w:p>
    <w:p w14:paraId="3E1D04D8" w14:textId="77777777" w:rsidR="008E0CD3" w:rsidRPr="00A3702F" w:rsidRDefault="008E0CD3" w:rsidP="008E0CD3">
      <w:pPr>
        <w:snapToGrid w:val="0"/>
        <w:ind w:firstLine="720"/>
        <w:rPr>
          <w:rFonts w:eastAsia="SimSun"/>
        </w:rPr>
      </w:pPr>
    </w:p>
    <w:p w14:paraId="7A4FA88F" w14:textId="77777777" w:rsidR="008E0CD3" w:rsidRPr="00A3702F" w:rsidRDefault="008E0CD3" w:rsidP="008E0CD3">
      <w:pPr>
        <w:snapToGrid w:val="0"/>
        <w:rPr>
          <w:rFonts w:eastAsia="SimSun"/>
          <w:b/>
          <w:u w:val="single"/>
        </w:rPr>
      </w:pPr>
      <w:r w:rsidRPr="00A3702F">
        <w:rPr>
          <w:rFonts w:eastAsia="SimSun"/>
          <w:b/>
          <w:u w:val="single"/>
        </w:rPr>
        <w:t xml:space="preserve">Results </w:t>
      </w:r>
    </w:p>
    <w:p w14:paraId="5D026AD6" w14:textId="77777777" w:rsidR="008E0CD3" w:rsidRPr="00211DAB" w:rsidRDefault="008E0CD3" w:rsidP="008E0CD3">
      <w:pPr>
        <w:snapToGrid w:val="0"/>
        <w:rPr>
          <w:i/>
        </w:rPr>
      </w:pPr>
      <w:r w:rsidRPr="00A3702F">
        <w:rPr>
          <w:i/>
        </w:rPr>
        <w:t xml:space="preserve">Power </w:t>
      </w:r>
      <w:r w:rsidRPr="00211DAB">
        <w:rPr>
          <w:i/>
        </w:rPr>
        <w:t xml:space="preserve">Continuation </w:t>
      </w:r>
    </w:p>
    <w:p w14:paraId="40C97B5E" w14:textId="77777777" w:rsidR="008E0CD3" w:rsidRPr="00211DAB" w:rsidRDefault="008E0CD3" w:rsidP="008E0CD3">
      <w:pPr>
        <w:snapToGrid w:val="0"/>
        <w:ind w:firstLine="720"/>
      </w:pPr>
      <w:r w:rsidRPr="00211DAB">
        <w:t xml:space="preserve">The first set of models presents logit models on the correlates of power continuation (Figure 4). Exit from professional and political life means giving up access to economic and political power gained from a formal position, whereas power continuation means a leader gets to “stay in the game”—continuing to exercise influence and potentially earn rents from his formal position. Performance is positively and significantly correlated with power continuation. Both measures of good performance, ROA level and differenced ROA, are positive and significant (p=0.45 and 0.10, respectively). Correspondingly, negative ROA growth, measured as one if ROA declined over the previous year and 0 otherwise, is negatively correlated with power continuation: having negative ROA growth results reduces the probability of power continuation by 3.6 percent (p=0.07). This suggests that leaders who oversee more profitable firms, both overall and compared with the previous year, are more likely to stay in their position than exit. </w:t>
      </w:r>
    </w:p>
    <w:p w14:paraId="05333FAF" w14:textId="2685520C" w:rsidR="00BE2FFE" w:rsidRDefault="00BE2FFE" w:rsidP="008E0CD3">
      <w:pPr>
        <w:ind w:firstLine="720"/>
      </w:pPr>
    </w:p>
    <w:p w14:paraId="63A950BA" w14:textId="77777777" w:rsidR="00BE2FFE" w:rsidRPr="00BE2FFE" w:rsidRDefault="00BE2FFE" w:rsidP="008E0CD3">
      <w:pPr>
        <w:ind w:firstLine="720"/>
        <w:rPr>
          <w:sz w:val="16"/>
          <w:szCs w:val="16"/>
        </w:rPr>
      </w:pPr>
    </w:p>
    <w:p w14:paraId="1FE2A242" w14:textId="2D7EE586" w:rsidR="00BE2FFE" w:rsidRPr="00BE2FFE" w:rsidRDefault="00BE2FFE" w:rsidP="00BE2FFE">
      <w:pPr>
        <w:jc w:val="center"/>
        <w:rPr>
          <w:b/>
          <w:bCs/>
        </w:rPr>
      </w:pPr>
      <w:r w:rsidRPr="00BE2FFE">
        <w:rPr>
          <w:b/>
          <w:bCs/>
        </w:rPr>
        <w:t xml:space="preserve">Figure 4: Marginal Effects Power Continuation, Logit Models </w:t>
      </w:r>
      <w:r w:rsidRPr="00BE2FFE">
        <w:rPr>
          <w:b/>
          <w:bCs/>
          <w:sz w:val="23"/>
          <w:szCs w:val="23"/>
        </w:rPr>
        <w:t>with 90% and 95%</w:t>
      </w:r>
      <w:r w:rsidR="00315077">
        <w:rPr>
          <w:b/>
          <w:bCs/>
          <w:sz w:val="23"/>
          <w:szCs w:val="23"/>
        </w:rPr>
        <w:t xml:space="preserve"> </w:t>
      </w:r>
      <w:r w:rsidRPr="00BE2FFE">
        <w:rPr>
          <w:b/>
          <w:bCs/>
          <w:sz w:val="23"/>
          <w:szCs w:val="23"/>
        </w:rPr>
        <w:t>Confidence Intervals</w:t>
      </w:r>
    </w:p>
    <w:p w14:paraId="547791A2" w14:textId="77777777" w:rsidR="00BE2FFE" w:rsidRPr="00F02B68" w:rsidRDefault="00BE2FFE" w:rsidP="00BE2FFE">
      <w:pPr>
        <w:jc w:val="center"/>
        <w:rPr>
          <w:sz w:val="23"/>
          <w:szCs w:val="23"/>
        </w:rPr>
      </w:pPr>
    </w:p>
    <w:p w14:paraId="0A1AD945" w14:textId="77777777" w:rsidR="00BE2FFE" w:rsidRPr="00F02B68" w:rsidRDefault="00BE2FFE" w:rsidP="00BE2FFE">
      <w:pPr>
        <w:jc w:val="center"/>
      </w:pPr>
      <w:r w:rsidRPr="00F02B68">
        <w:rPr>
          <w:sz w:val="23"/>
          <w:szCs w:val="23"/>
        </w:rPr>
        <w:t xml:space="preserve">Panel </w:t>
      </w:r>
      <w:proofErr w:type="gramStart"/>
      <w:r w:rsidRPr="00F02B68">
        <w:rPr>
          <w:sz w:val="23"/>
          <w:szCs w:val="23"/>
        </w:rPr>
        <w:t>A</w:t>
      </w:r>
      <w:proofErr w:type="gramEnd"/>
      <w:r w:rsidRPr="00F02B68">
        <w:rPr>
          <w:sz w:val="23"/>
          <w:szCs w:val="23"/>
        </w:rPr>
        <w:t xml:space="preserve"> Economic Performance </w:t>
      </w:r>
      <w:r w:rsidRPr="00F02B68">
        <w:rPr>
          <w:sz w:val="23"/>
          <w:szCs w:val="23"/>
        </w:rPr>
        <w:tab/>
      </w:r>
      <w:r w:rsidRPr="00F02B68">
        <w:rPr>
          <w:sz w:val="23"/>
          <w:szCs w:val="23"/>
        </w:rPr>
        <w:tab/>
        <w:t>Panel B Political Connections</w:t>
      </w:r>
    </w:p>
    <w:p w14:paraId="430DECF4" w14:textId="77777777" w:rsidR="00BE2FFE" w:rsidRPr="00F02B68" w:rsidRDefault="00BE2FFE" w:rsidP="00BE2FFE">
      <w:pPr>
        <w:jc w:val="center"/>
      </w:pPr>
      <w:r w:rsidRPr="00F02B68">
        <w:rPr>
          <w:noProof/>
        </w:rPr>
        <w:drawing>
          <wp:inline distT="0" distB="0" distL="0" distR="0" wp14:anchorId="54B3BA70" wp14:editId="0E04459D">
            <wp:extent cx="2724150" cy="1981121"/>
            <wp:effectExtent l="0" t="0" r="0" b="635"/>
            <wp:docPr id="7" name="Picture 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ox and whisker char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39714" cy="1992440"/>
                    </a:xfrm>
                    <a:prstGeom prst="rect">
                      <a:avLst/>
                    </a:prstGeom>
                  </pic:spPr>
                </pic:pic>
              </a:graphicData>
            </a:graphic>
          </wp:inline>
        </w:drawing>
      </w:r>
      <w:r w:rsidRPr="00F02B68">
        <w:rPr>
          <w:noProof/>
        </w:rPr>
        <w:drawing>
          <wp:inline distT="0" distB="0" distL="0" distR="0" wp14:anchorId="54EF533A" wp14:editId="7C58C4F0">
            <wp:extent cx="2533650" cy="1844746"/>
            <wp:effectExtent l="0" t="0" r="0" b="3175"/>
            <wp:docPr id="6" name="Picture 6" descr="Chart, line 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 box and whisker 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45248" cy="1853190"/>
                    </a:xfrm>
                    <a:prstGeom prst="rect">
                      <a:avLst/>
                    </a:prstGeom>
                  </pic:spPr>
                </pic:pic>
              </a:graphicData>
            </a:graphic>
          </wp:inline>
        </w:drawing>
      </w:r>
    </w:p>
    <w:p w14:paraId="08483206" w14:textId="77777777" w:rsidR="00BE2FFE" w:rsidRPr="00F02B68" w:rsidRDefault="00BE2FFE" w:rsidP="00BE2FFE">
      <w:pPr>
        <w:jc w:val="center"/>
        <w:rPr>
          <w:sz w:val="20"/>
          <w:szCs w:val="20"/>
        </w:rPr>
      </w:pPr>
      <w:r w:rsidRPr="00F02B68">
        <w:rPr>
          <w:sz w:val="20"/>
          <w:szCs w:val="20"/>
        </w:rPr>
        <w:t>All models include controls for age, experience, and SOE industry. Models in Panel A include cumulative connections while models in Panel B include control of ROA. Full results available in appendix tables A4 and A5.</w:t>
      </w:r>
    </w:p>
    <w:p w14:paraId="297F9E24" w14:textId="77777777" w:rsidR="00BE2FFE" w:rsidRDefault="00BE2FFE" w:rsidP="008E0CD3">
      <w:pPr>
        <w:ind w:firstLine="720"/>
      </w:pPr>
    </w:p>
    <w:p w14:paraId="57A9B3BE" w14:textId="1A1EC531" w:rsidR="008E0CD3" w:rsidRPr="00211DAB" w:rsidRDefault="008E0CD3" w:rsidP="008E0CD3">
      <w:pPr>
        <w:ind w:firstLine="720"/>
      </w:pPr>
      <w:r w:rsidRPr="00211DAB">
        <w:lastRenderedPageBreak/>
        <w:t>Panel B presents the marginal effects of three levels of patron-client ties on power continuation. For power continuation, only connection to the COD is statistically significant on its own</w:t>
      </w:r>
      <w:r>
        <w:t>. However,</w:t>
      </w:r>
      <w:r w:rsidRPr="00211DAB">
        <w:t xml:space="preserve"> cumulative connections also increase the probability of staying in power, providing some evidence that patron-client relationships matter but depend on the connection. Leaders without political connections have a predicted probability of continuing their position of approximately 88 percent whereas those with political connections at any of the three levels is approximately 92 percent.</w:t>
      </w:r>
      <w:r w:rsidRPr="00211DAB">
        <w:rPr>
          <w:rStyle w:val="FootnoteReference"/>
        </w:rPr>
        <w:footnoteReference w:id="65"/>
      </w:r>
      <w:r w:rsidRPr="00211DAB">
        <w:t xml:space="preserve"> Connection with the COD director has a slightly larger effect on probability of power continuation, but this difference is not statistically significant.</w:t>
      </w:r>
    </w:p>
    <w:p w14:paraId="531B36C4" w14:textId="77777777" w:rsidR="00BE2FFE" w:rsidRDefault="00BE2FFE" w:rsidP="008E0CD3">
      <w:pPr>
        <w:ind w:firstLine="720"/>
      </w:pPr>
    </w:p>
    <w:p w14:paraId="5940E5FB" w14:textId="77777777" w:rsidR="00BE2FFE" w:rsidRPr="00BE2FFE" w:rsidRDefault="00BE2FFE" w:rsidP="00BE2FFE">
      <w:pPr>
        <w:jc w:val="center"/>
        <w:rPr>
          <w:rFonts w:eastAsia="SimSun"/>
          <w:b/>
          <w:bCs/>
        </w:rPr>
      </w:pPr>
      <w:r w:rsidRPr="00BE2FFE">
        <w:rPr>
          <w:rFonts w:eastAsia="SimSun"/>
          <w:b/>
          <w:bCs/>
        </w:rPr>
        <w:t>Table 2: Marginal Effects of Patron Connections at Three Levels on Power Continuation and Mobility Outcomes</w:t>
      </w:r>
    </w:p>
    <w:p w14:paraId="29C3A0E8" w14:textId="77777777" w:rsidR="00BE2FFE" w:rsidRPr="00F02B68" w:rsidRDefault="00BE2FFE" w:rsidP="00BE2FFE">
      <w:pPr>
        <w:rPr>
          <w:rFonts w:eastAsia="SimSun"/>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2"/>
        <w:gridCol w:w="1687"/>
        <w:gridCol w:w="1403"/>
        <w:gridCol w:w="1669"/>
        <w:gridCol w:w="1567"/>
      </w:tblGrid>
      <w:tr w:rsidR="00BE2FFE" w:rsidRPr="00D071C1" w14:paraId="0FBAF98C" w14:textId="77777777" w:rsidTr="00315077">
        <w:trPr>
          <w:jc w:val="center"/>
        </w:trPr>
        <w:tc>
          <w:tcPr>
            <w:tcW w:w="1752" w:type="dxa"/>
            <w:tcBorders>
              <w:top w:val="single" w:sz="4" w:space="0" w:color="auto"/>
            </w:tcBorders>
          </w:tcPr>
          <w:p w14:paraId="5100AC23" w14:textId="77777777" w:rsidR="00BE2FFE" w:rsidRPr="00F02B68" w:rsidRDefault="00BE2FFE" w:rsidP="00315077">
            <w:pPr>
              <w:rPr>
                <w:rFonts w:eastAsia="SimSun"/>
                <w:b/>
                <w:sz w:val="20"/>
                <w:szCs w:val="20"/>
              </w:rPr>
            </w:pPr>
          </w:p>
        </w:tc>
        <w:tc>
          <w:tcPr>
            <w:tcW w:w="1687" w:type="dxa"/>
            <w:vMerge w:val="restart"/>
            <w:tcBorders>
              <w:top w:val="single" w:sz="4" w:space="0" w:color="auto"/>
            </w:tcBorders>
          </w:tcPr>
          <w:p w14:paraId="21D89BF9" w14:textId="77777777" w:rsidR="00BE2FFE" w:rsidRPr="00F02B68" w:rsidRDefault="00BE2FFE" w:rsidP="00315077">
            <w:pPr>
              <w:jc w:val="center"/>
              <w:rPr>
                <w:rFonts w:eastAsia="SimSun"/>
                <w:sz w:val="20"/>
                <w:szCs w:val="20"/>
              </w:rPr>
            </w:pPr>
            <w:r w:rsidRPr="00F02B68">
              <w:rPr>
                <w:rFonts w:eastAsia="SimSun"/>
                <w:sz w:val="20"/>
                <w:szCs w:val="20"/>
              </w:rPr>
              <w:t>Power Continuation</w:t>
            </w:r>
          </w:p>
        </w:tc>
        <w:tc>
          <w:tcPr>
            <w:tcW w:w="4639" w:type="dxa"/>
            <w:gridSpan w:val="3"/>
            <w:tcBorders>
              <w:top w:val="single" w:sz="4" w:space="0" w:color="auto"/>
              <w:bottom w:val="single" w:sz="4" w:space="0" w:color="auto"/>
            </w:tcBorders>
          </w:tcPr>
          <w:p w14:paraId="0DE47075" w14:textId="77777777" w:rsidR="00BE2FFE" w:rsidRPr="00F02B68" w:rsidRDefault="00BE2FFE" w:rsidP="00315077">
            <w:pPr>
              <w:jc w:val="center"/>
              <w:rPr>
                <w:rFonts w:eastAsia="SimSun"/>
                <w:sz w:val="20"/>
                <w:szCs w:val="20"/>
              </w:rPr>
            </w:pPr>
            <w:r w:rsidRPr="00F02B68">
              <w:rPr>
                <w:rFonts w:eastAsia="SimSun"/>
                <w:sz w:val="20"/>
                <w:szCs w:val="20"/>
              </w:rPr>
              <w:t>Multi-level</w:t>
            </w:r>
          </w:p>
        </w:tc>
      </w:tr>
      <w:tr w:rsidR="00BE2FFE" w:rsidRPr="00D071C1" w14:paraId="37E2DFB7" w14:textId="77777777" w:rsidTr="00315077">
        <w:trPr>
          <w:jc w:val="center"/>
        </w:trPr>
        <w:tc>
          <w:tcPr>
            <w:tcW w:w="1752" w:type="dxa"/>
          </w:tcPr>
          <w:p w14:paraId="13041673" w14:textId="77777777" w:rsidR="00BE2FFE" w:rsidRPr="00F02B68" w:rsidRDefault="00BE2FFE" w:rsidP="00315077">
            <w:pPr>
              <w:rPr>
                <w:rFonts w:eastAsia="SimSun"/>
                <w:b/>
                <w:sz w:val="20"/>
                <w:szCs w:val="20"/>
              </w:rPr>
            </w:pPr>
          </w:p>
        </w:tc>
        <w:tc>
          <w:tcPr>
            <w:tcW w:w="1687" w:type="dxa"/>
            <w:vMerge/>
          </w:tcPr>
          <w:p w14:paraId="1EDE0229" w14:textId="77777777" w:rsidR="00BE2FFE" w:rsidRPr="00F02B68" w:rsidRDefault="00BE2FFE" w:rsidP="00315077">
            <w:pPr>
              <w:jc w:val="center"/>
              <w:rPr>
                <w:rFonts w:eastAsia="SimSun"/>
                <w:sz w:val="20"/>
                <w:szCs w:val="20"/>
              </w:rPr>
            </w:pPr>
          </w:p>
        </w:tc>
        <w:tc>
          <w:tcPr>
            <w:tcW w:w="1403" w:type="dxa"/>
            <w:tcBorders>
              <w:top w:val="single" w:sz="4" w:space="0" w:color="auto"/>
            </w:tcBorders>
          </w:tcPr>
          <w:p w14:paraId="4605A434" w14:textId="77777777" w:rsidR="00BE2FFE" w:rsidRPr="00F02B68" w:rsidRDefault="00BE2FFE" w:rsidP="00315077">
            <w:pPr>
              <w:jc w:val="center"/>
              <w:rPr>
                <w:rFonts w:eastAsia="SimSun"/>
                <w:sz w:val="20"/>
                <w:szCs w:val="20"/>
              </w:rPr>
            </w:pPr>
            <w:r w:rsidRPr="00F02B68">
              <w:rPr>
                <w:rFonts w:eastAsia="SimSun"/>
                <w:sz w:val="20"/>
                <w:szCs w:val="20"/>
              </w:rPr>
              <w:t>Exit</w:t>
            </w:r>
          </w:p>
        </w:tc>
        <w:tc>
          <w:tcPr>
            <w:tcW w:w="1669" w:type="dxa"/>
            <w:tcBorders>
              <w:top w:val="single" w:sz="4" w:space="0" w:color="auto"/>
            </w:tcBorders>
          </w:tcPr>
          <w:p w14:paraId="61793967" w14:textId="77777777" w:rsidR="00BE2FFE" w:rsidRPr="00F02B68" w:rsidRDefault="00BE2FFE" w:rsidP="00315077">
            <w:pPr>
              <w:jc w:val="center"/>
              <w:rPr>
                <w:rFonts w:eastAsia="SimSun"/>
                <w:sz w:val="20"/>
                <w:szCs w:val="20"/>
              </w:rPr>
            </w:pPr>
            <w:r w:rsidRPr="00F02B68">
              <w:rPr>
                <w:rFonts w:eastAsia="SimSun"/>
                <w:sz w:val="20"/>
                <w:szCs w:val="20"/>
              </w:rPr>
              <w:t>Government</w:t>
            </w:r>
          </w:p>
        </w:tc>
        <w:tc>
          <w:tcPr>
            <w:tcW w:w="1567" w:type="dxa"/>
            <w:tcBorders>
              <w:top w:val="single" w:sz="4" w:space="0" w:color="auto"/>
            </w:tcBorders>
          </w:tcPr>
          <w:p w14:paraId="029C0E72" w14:textId="77777777" w:rsidR="00BE2FFE" w:rsidRPr="00F02B68" w:rsidRDefault="00BE2FFE" w:rsidP="00315077">
            <w:pPr>
              <w:jc w:val="center"/>
              <w:rPr>
                <w:rFonts w:eastAsia="SimSun"/>
                <w:sz w:val="20"/>
                <w:szCs w:val="20"/>
              </w:rPr>
            </w:pPr>
            <w:r w:rsidRPr="00F02B68">
              <w:rPr>
                <w:rFonts w:eastAsia="SimSun"/>
                <w:sz w:val="20"/>
                <w:szCs w:val="20"/>
              </w:rPr>
              <w:t>Baseline: SOE</w:t>
            </w:r>
          </w:p>
        </w:tc>
      </w:tr>
      <w:tr w:rsidR="00BE2FFE" w:rsidRPr="00D071C1" w14:paraId="2F4E947E" w14:textId="77777777" w:rsidTr="00315077">
        <w:trPr>
          <w:jc w:val="center"/>
        </w:trPr>
        <w:tc>
          <w:tcPr>
            <w:tcW w:w="1752" w:type="dxa"/>
            <w:tcBorders>
              <w:bottom w:val="single" w:sz="4" w:space="0" w:color="auto"/>
            </w:tcBorders>
          </w:tcPr>
          <w:p w14:paraId="15AD4115" w14:textId="77777777" w:rsidR="00BE2FFE" w:rsidRPr="00F02B68" w:rsidRDefault="00BE2FFE" w:rsidP="00315077">
            <w:pPr>
              <w:rPr>
                <w:rFonts w:eastAsia="SimSun"/>
                <w:sz w:val="20"/>
                <w:szCs w:val="20"/>
              </w:rPr>
            </w:pPr>
          </w:p>
        </w:tc>
        <w:tc>
          <w:tcPr>
            <w:tcW w:w="1687" w:type="dxa"/>
            <w:tcBorders>
              <w:bottom w:val="single" w:sz="4" w:space="0" w:color="auto"/>
            </w:tcBorders>
          </w:tcPr>
          <w:p w14:paraId="32A685B1" w14:textId="77777777" w:rsidR="00BE2FFE" w:rsidRPr="00F02B68" w:rsidRDefault="00BE2FFE" w:rsidP="00315077">
            <w:pPr>
              <w:jc w:val="center"/>
              <w:rPr>
                <w:rFonts w:eastAsia="SimSun"/>
                <w:sz w:val="20"/>
                <w:szCs w:val="20"/>
              </w:rPr>
            </w:pPr>
            <w:r w:rsidRPr="00F02B68">
              <w:rPr>
                <w:rFonts w:eastAsia="SimSun"/>
                <w:sz w:val="20"/>
                <w:szCs w:val="20"/>
              </w:rPr>
              <w:t>(1)</w:t>
            </w:r>
          </w:p>
        </w:tc>
        <w:tc>
          <w:tcPr>
            <w:tcW w:w="1403" w:type="dxa"/>
            <w:tcBorders>
              <w:bottom w:val="single" w:sz="4" w:space="0" w:color="auto"/>
            </w:tcBorders>
          </w:tcPr>
          <w:p w14:paraId="3963A095" w14:textId="77777777" w:rsidR="00BE2FFE" w:rsidRPr="00F02B68" w:rsidRDefault="00BE2FFE" w:rsidP="00315077">
            <w:pPr>
              <w:jc w:val="center"/>
              <w:rPr>
                <w:rFonts w:eastAsia="SimSun"/>
                <w:sz w:val="20"/>
                <w:szCs w:val="20"/>
              </w:rPr>
            </w:pPr>
            <w:r w:rsidRPr="00F02B68">
              <w:rPr>
                <w:rFonts w:eastAsia="SimSun"/>
                <w:sz w:val="20"/>
                <w:szCs w:val="20"/>
              </w:rPr>
              <w:t>(2)</w:t>
            </w:r>
          </w:p>
        </w:tc>
        <w:tc>
          <w:tcPr>
            <w:tcW w:w="1669" w:type="dxa"/>
            <w:tcBorders>
              <w:bottom w:val="single" w:sz="4" w:space="0" w:color="auto"/>
            </w:tcBorders>
          </w:tcPr>
          <w:p w14:paraId="3E144055" w14:textId="77777777" w:rsidR="00BE2FFE" w:rsidRPr="00F02B68" w:rsidRDefault="00BE2FFE" w:rsidP="00315077">
            <w:pPr>
              <w:jc w:val="center"/>
              <w:rPr>
                <w:rFonts w:eastAsia="SimSun"/>
                <w:sz w:val="20"/>
                <w:szCs w:val="20"/>
              </w:rPr>
            </w:pPr>
            <w:r w:rsidRPr="00F02B68">
              <w:rPr>
                <w:rFonts w:eastAsia="SimSun"/>
                <w:sz w:val="20"/>
                <w:szCs w:val="20"/>
              </w:rPr>
              <w:t>(3)</w:t>
            </w:r>
          </w:p>
        </w:tc>
        <w:tc>
          <w:tcPr>
            <w:tcW w:w="1567" w:type="dxa"/>
            <w:tcBorders>
              <w:bottom w:val="single" w:sz="4" w:space="0" w:color="auto"/>
            </w:tcBorders>
          </w:tcPr>
          <w:p w14:paraId="29F4CC4E" w14:textId="77777777" w:rsidR="00BE2FFE" w:rsidRPr="00F02B68" w:rsidRDefault="00BE2FFE" w:rsidP="00315077">
            <w:pPr>
              <w:jc w:val="center"/>
              <w:rPr>
                <w:rFonts w:eastAsia="SimSun"/>
                <w:sz w:val="20"/>
                <w:szCs w:val="20"/>
              </w:rPr>
            </w:pPr>
            <w:r w:rsidRPr="00F02B68">
              <w:rPr>
                <w:rFonts w:eastAsia="SimSun"/>
                <w:sz w:val="20"/>
                <w:szCs w:val="20"/>
              </w:rPr>
              <w:t>(4)</w:t>
            </w:r>
          </w:p>
        </w:tc>
      </w:tr>
      <w:tr w:rsidR="00BE2FFE" w:rsidRPr="00D071C1" w14:paraId="5DF2D410" w14:textId="77777777" w:rsidTr="00315077">
        <w:trPr>
          <w:jc w:val="center"/>
        </w:trPr>
        <w:tc>
          <w:tcPr>
            <w:tcW w:w="1752" w:type="dxa"/>
            <w:tcBorders>
              <w:top w:val="single" w:sz="4" w:space="0" w:color="auto"/>
            </w:tcBorders>
            <w:vAlign w:val="center"/>
          </w:tcPr>
          <w:p w14:paraId="74A37C8A" w14:textId="77777777" w:rsidR="00BE2FFE" w:rsidRPr="00F02B68" w:rsidRDefault="00BE2FFE" w:rsidP="00315077">
            <w:pPr>
              <w:jc w:val="center"/>
              <w:rPr>
                <w:rFonts w:eastAsia="SimSun"/>
                <w:sz w:val="20"/>
                <w:szCs w:val="20"/>
              </w:rPr>
            </w:pPr>
            <w:r w:rsidRPr="00F02B68">
              <w:rPr>
                <w:rFonts w:eastAsia="SimSun"/>
                <w:sz w:val="20"/>
                <w:szCs w:val="20"/>
              </w:rPr>
              <w:t>Central Administration</w:t>
            </w:r>
          </w:p>
        </w:tc>
        <w:tc>
          <w:tcPr>
            <w:tcW w:w="1687" w:type="dxa"/>
            <w:tcBorders>
              <w:top w:val="single" w:sz="4" w:space="0" w:color="auto"/>
            </w:tcBorders>
          </w:tcPr>
          <w:p w14:paraId="3EEDA102" w14:textId="77777777" w:rsidR="00BE2FFE" w:rsidRPr="00F02B68" w:rsidRDefault="00BE2FFE" w:rsidP="00315077">
            <w:pPr>
              <w:jc w:val="center"/>
              <w:rPr>
                <w:rFonts w:eastAsia="SimSun"/>
                <w:sz w:val="20"/>
                <w:szCs w:val="20"/>
              </w:rPr>
            </w:pPr>
            <w:r w:rsidRPr="00F02B68">
              <w:rPr>
                <w:rFonts w:eastAsia="SimSun"/>
                <w:sz w:val="20"/>
                <w:szCs w:val="20"/>
              </w:rPr>
              <w:t xml:space="preserve">0.031 </w:t>
            </w:r>
          </w:p>
          <w:p w14:paraId="3D46B2B4" w14:textId="77777777" w:rsidR="00BE2FFE" w:rsidRPr="00F02B68" w:rsidRDefault="00BE2FFE" w:rsidP="00315077">
            <w:pPr>
              <w:jc w:val="center"/>
              <w:rPr>
                <w:rFonts w:eastAsia="SimSun"/>
                <w:sz w:val="20"/>
                <w:szCs w:val="20"/>
              </w:rPr>
            </w:pPr>
            <w:r w:rsidRPr="00F02B68">
              <w:rPr>
                <w:rFonts w:eastAsia="SimSun"/>
                <w:sz w:val="20"/>
                <w:szCs w:val="20"/>
              </w:rPr>
              <w:t>(0.023)</w:t>
            </w:r>
          </w:p>
        </w:tc>
        <w:tc>
          <w:tcPr>
            <w:tcW w:w="1403" w:type="dxa"/>
            <w:tcBorders>
              <w:top w:val="single" w:sz="4" w:space="0" w:color="auto"/>
            </w:tcBorders>
          </w:tcPr>
          <w:p w14:paraId="5C426939" w14:textId="77777777" w:rsidR="00BE2FFE" w:rsidRPr="00F02B68" w:rsidRDefault="00BE2FFE" w:rsidP="00315077">
            <w:pPr>
              <w:jc w:val="center"/>
              <w:rPr>
                <w:rFonts w:eastAsia="SimSun"/>
                <w:sz w:val="20"/>
                <w:szCs w:val="20"/>
              </w:rPr>
            </w:pPr>
            <w:r w:rsidRPr="00F02B68">
              <w:rPr>
                <w:rFonts w:eastAsia="SimSun"/>
                <w:sz w:val="20"/>
                <w:szCs w:val="20"/>
              </w:rPr>
              <w:t>-0.033*</w:t>
            </w:r>
          </w:p>
          <w:p w14:paraId="7ACB94A2" w14:textId="77777777" w:rsidR="00BE2FFE" w:rsidRPr="00F02B68" w:rsidRDefault="00BE2FFE" w:rsidP="00315077">
            <w:pPr>
              <w:jc w:val="center"/>
              <w:rPr>
                <w:rFonts w:eastAsia="SimSun"/>
                <w:sz w:val="20"/>
                <w:szCs w:val="20"/>
              </w:rPr>
            </w:pPr>
            <w:r w:rsidRPr="00F02B68">
              <w:rPr>
                <w:rFonts w:eastAsia="SimSun"/>
                <w:sz w:val="20"/>
                <w:szCs w:val="20"/>
              </w:rPr>
              <w:t xml:space="preserve"> (.018)</w:t>
            </w:r>
          </w:p>
        </w:tc>
        <w:tc>
          <w:tcPr>
            <w:tcW w:w="1669" w:type="dxa"/>
            <w:tcBorders>
              <w:top w:val="single" w:sz="4" w:space="0" w:color="auto"/>
            </w:tcBorders>
          </w:tcPr>
          <w:p w14:paraId="6F11FE63" w14:textId="77777777" w:rsidR="00BE2FFE" w:rsidRPr="00F02B68" w:rsidRDefault="00BE2FFE" w:rsidP="00315077">
            <w:pPr>
              <w:jc w:val="center"/>
              <w:rPr>
                <w:rFonts w:eastAsia="SimSun"/>
                <w:sz w:val="20"/>
                <w:szCs w:val="20"/>
              </w:rPr>
            </w:pPr>
            <w:r w:rsidRPr="00F02B68">
              <w:rPr>
                <w:rFonts w:eastAsia="SimSun"/>
                <w:sz w:val="20"/>
                <w:szCs w:val="20"/>
              </w:rPr>
              <w:t xml:space="preserve">-0.007 </w:t>
            </w:r>
          </w:p>
          <w:p w14:paraId="20591FC4" w14:textId="77777777" w:rsidR="00BE2FFE" w:rsidRPr="00F02B68" w:rsidRDefault="00BE2FFE" w:rsidP="00315077">
            <w:pPr>
              <w:jc w:val="center"/>
              <w:rPr>
                <w:rFonts w:eastAsia="SimSun"/>
                <w:sz w:val="20"/>
                <w:szCs w:val="20"/>
              </w:rPr>
            </w:pPr>
            <w:r w:rsidRPr="00F02B68">
              <w:rPr>
                <w:rFonts w:eastAsia="SimSun"/>
                <w:sz w:val="20"/>
                <w:szCs w:val="20"/>
              </w:rPr>
              <w:t>(0.017)</w:t>
            </w:r>
          </w:p>
        </w:tc>
        <w:tc>
          <w:tcPr>
            <w:tcW w:w="1567" w:type="dxa"/>
            <w:tcBorders>
              <w:top w:val="single" w:sz="4" w:space="0" w:color="auto"/>
            </w:tcBorders>
          </w:tcPr>
          <w:p w14:paraId="1624692A" w14:textId="77777777" w:rsidR="00BE2FFE" w:rsidRPr="00F02B68" w:rsidRDefault="00BE2FFE" w:rsidP="00315077">
            <w:pPr>
              <w:jc w:val="center"/>
              <w:rPr>
                <w:rFonts w:eastAsia="SimSun"/>
                <w:sz w:val="20"/>
                <w:szCs w:val="20"/>
              </w:rPr>
            </w:pPr>
            <w:r w:rsidRPr="00F02B68">
              <w:rPr>
                <w:rFonts w:eastAsia="SimSun"/>
                <w:sz w:val="20"/>
                <w:szCs w:val="20"/>
              </w:rPr>
              <w:t xml:space="preserve">0.040* </w:t>
            </w:r>
          </w:p>
          <w:p w14:paraId="0DE32443" w14:textId="77777777" w:rsidR="00BE2FFE" w:rsidRPr="00F02B68" w:rsidRDefault="00BE2FFE" w:rsidP="00315077">
            <w:pPr>
              <w:jc w:val="center"/>
              <w:rPr>
                <w:rFonts w:eastAsia="SimSun"/>
                <w:sz w:val="20"/>
                <w:szCs w:val="20"/>
              </w:rPr>
            </w:pPr>
            <w:r w:rsidRPr="00F02B68">
              <w:rPr>
                <w:rFonts w:eastAsia="SimSun"/>
                <w:sz w:val="20"/>
                <w:szCs w:val="20"/>
              </w:rPr>
              <w:t>(0.024)</w:t>
            </w:r>
          </w:p>
        </w:tc>
      </w:tr>
      <w:tr w:rsidR="00BE2FFE" w:rsidRPr="00D071C1" w14:paraId="1D09BA2A" w14:textId="77777777" w:rsidTr="00315077">
        <w:trPr>
          <w:jc w:val="center"/>
        </w:trPr>
        <w:tc>
          <w:tcPr>
            <w:tcW w:w="1752" w:type="dxa"/>
          </w:tcPr>
          <w:p w14:paraId="47BE4CB8" w14:textId="77777777" w:rsidR="00BE2FFE" w:rsidRPr="00F02B68" w:rsidRDefault="00BE2FFE" w:rsidP="00315077">
            <w:pPr>
              <w:rPr>
                <w:rFonts w:eastAsia="SimSun"/>
                <w:sz w:val="20"/>
                <w:szCs w:val="20"/>
              </w:rPr>
            </w:pPr>
          </w:p>
        </w:tc>
        <w:tc>
          <w:tcPr>
            <w:tcW w:w="1687" w:type="dxa"/>
          </w:tcPr>
          <w:p w14:paraId="6A91FFB0" w14:textId="77777777" w:rsidR="00BE2FFE" w:rsidRPr="00F02B68" w:rsidRDefault="00BE2FFE" w:rsidP="00315077">
            <w:pPr>
              <w:jc w:val="center"/>
              <w:rPr>
                <w:rFonts w:eastAsia="SimSun"/>
                <w:sz w:val="20"/>
                <w:szCs w:val="20"/>
              </w:rPr>
            </w:pPr>
          </w:p>
        </w:tc>
        <w:tc>
          <w:tcPr>
            <w:tcW w:w="1403" w:type="dxa"/>
          </w:tcPr>
          <w:p w14:paraId="7E0B02C3" w14:textId="77777777" w:rsidR="00BE2FFE" w:rsidRPr="00F02B68" w:rsidRDefault="00BE2FFE" w:rsidP="00315077">
            <w:pPr>
              <w:jc w:val="center"/>
              <w:rPr>
                <w:rFonts w:eastAsia="SimSun"/>
                <w:sz w:val="20"/>
                <w:szCs w:val="20"/>
              </w:rPr>
            </w:pPr>
          </w:p>
        </w:tc>
        <w:tc>
          <w:tcPr>
            <w:tcW w:w="1669" w:type="dxa"/>
          </w:tcPr>
          <w:p w14:paraId="0775EE66" w14:textId="77777777" w:rsidR="00BE2FFE" w:rsidRPr="00F02B68" w:rsidRDefault="00BE2FFE" w:rsidP="00315077">
            <w:pPr>
              <w:jc w:val="center"/>
              <w:rPr>
                <w:rFonts w:eastAsia="SimSun"/>
                <w:sz w:val="20"/>
                <w:szCs w:val="20"/>
              </w:rPr>
            </w:pPr>
          </w:p>
        </w:tc>
        <w:tc>
          <w:tcPr>
            <w:tcW w:w="1567" w:type="dxa"/>
          </w:tcPr>
          <w:p w14:paraId="524786C3" w14:textId="77777777" w:rsidR="00BE2FFE" w:rsidRPr="00F02B68" w:rsidRDefault="00BE2FFE" w:rsidP="00315077">
            <w:pPr>
              <w:jc w:val="center"/>
              <w:rPr>
                <w:rFonts w:eastAsia="SimSun"/>
                <w:sz w:val="20"/>
                <w:szCs w:val="20"/>
              </w:rPr>
            </w:pPr>
          </w:p>
        </w:tc>
      </w:tr>
      <w:tr w:rsidR="00BE2FFE" w:rsidRPr="00D071C1" w14:paraId="05039CD2" w14:textId="77777777" w:rsidTr="00315077">
        <w:trPr>
          <w:jc w:val="center"/>
        </w:trPr>
        <w:tc>
          <w:tcPr>
            <w:tcW w:w="1752" w:type="dxa"/>
            <w:vAlign w:val="center"/>
          </w:tcPr>
          <w:p w14:paraId="19379023" w14:textId="77777777" w:rsidR="00BE2FFE" w:rsidRPr="00F02B68" w:rsidRDefault="00BE2FFE" w:rsidP="00315077">
            <w:pPr>
              <w:jc w:val="center"/>
              <w:rPr>
                <w:rFonts w:eastAsia="SimSun"/>
                <w:sz w:val="20"/>
                <w:szCs w:val="20"/>
              </w:rPr>
            </w:pPr>
            <w:r w:rsidRPr="00F02B68">
              <w:rPr>
                <w:rFonts w:eastAsia="SimSun"/>
                <w:sz w:val="20"/>
                <w:szCs w:val="20"/>
              </w:rPr>
              <w:t>SASAC Director</w:t>
            </w:r>
          </w:p>
        </w:tc>
        <w:tc>
          <w:tcPr>
            <w:tcW w:w="1687" w:type="dxa"/>
          </w:tcPr>
          <w:p w14:paraId="03A14F02" w14:textId="77777777" w:rsidR="00BE2FFE" w:rsidRPr="00F02B68" w:rsidRDefault="00BE2FFE" w:rsidP="00315077">
            <w:pPr>
              <w:jc w:val="center"/>
              <w:rPr>
                <w:rFonts w:eastAsia="SimSun"/>
                <w:sz w:val="20"/>
                <w:szCs w:val="20"/>
              </w:rPr>
            </w:pPr>
            <w:r w:rsidRPr="00F02B68">
              <w:rPr>
                <w:rFonts w:eastAsia="SimSun"/>
                <w:sz w:val="20"/>
                <w:szCs w:val="20"/>
              </w:rPr>
              <w:t>0.027</w:t>
            </w:r>
          </w:p>
          <w:p w14:paraId="5E60AD5B" w14:textId="77777777" w:rsidR="00BE2FFE" w:rsidRPr="00F02B68" w:rsidRDefault="00BE2FFE" w:rsidP="00315077">
            <w:pPr>
              <w:jc w:val="center"/>
              <w:rPr>
                <w:rFonts w:eastAsia="SimSun"/>
                <w:sz w:val="20"/>
                <w:szCs w:val="20"/>
              </w:rPr>
            </w:pPr>
            <w:r w:rsidRPr="00F02B68">
              <w:rPr>
                <w:rFonts w:eastAsia="SimSun"/>
                <w:sz w:val="20"/>
                <w:szCs w:val="20"/>
              </w:rPr>
              <w:t xml:space="preserve"> (0.025)</w:t>
            </w:r>
          </w:p>
        </w:tc>
        <w:tc>
          <w:tcPr>
            <w:tcW w:w="1403" w:type="dxa"/>
          </w:tcPr>
          <w:p w14:paraId="3DE76DA6" w14:textId="77777777" w:rsidR="00BE2FFE" w:rsidRPr="00F02B68" w:rsidRDefault="00BE2FFE" w:rsidP="00315077">
            <w:pPr>
              <w:jc w:val="center"/>
              <w:rPr>
                <w:rFonts w:eastAsia="SimSun"/>
                <w:sz w:val="20"/>
                <w:szCs w:val="20"/>
              </w:rPr>
            </w:pPr>
            <w:r w:rsidRPr="00F02B68">
              <w:rPr>
                <w:rFonts w:eastAsia="SimSun"/>
                <w:sz w:val="20"/>
                <w:szCs w:val="20"/>
              </w:rPr>
              <w:t>-0.031</w:t>
            </w:r>
          </w:p>
          <w:p w14:paraId="7266613A" w14:textId="77777777" w:rsidR="00BE2FFE" w:rsidRPr="00F02B68" w:rsidRDefault="00BE2FFE" w:rsidP="00315077">
            <w:pPr>
              <w:jc w:val="center"/>
              <w:rPr>
                <w:rFonts w:eastAsia="SimSun"/>
                <w:sz w:val="20"/>
                <w:szCs w:val="20"/>
              </w:rPr>
            </w:pPr>
            <w:r w:rsidRPr="00F02B68">
              <w:rPr>
                <w:rFonts w:eastAsia="SimSun"/>
                <w:sz w:val="20"/>
                <w:szCs w:val="20"/>
              </w:rPr>
              <w:t>(0.022)</w:t>
            </w:r>
          </w:p>
        </w:tc>
        <w:tc>
          <w:tcPr>
            <w:tcW w:w="1669" w:type="dxa"/>
          </w:tcPr>
          <w:p w14:paraId="5CACEBCC" w14:textId="77777777" w:rsidR="00BE2FFE" w:rsidRPr="00F02B68" w:rsidRDefault="00BE2FFE" w:rsidP="00315077">
            <w:pPr>
              <w:jc w:val="center"/>
              <w:rPr>
                <w:rFonts w:eastAsia="SimSun"/>
                <w:sz w:val="20"/>
                <w:szCs w:val="20"/>
              </w:rPr>
            </w:pPr>
            <w:r w:rsidRPr="00F02B68">
              <w:rPr>
                <w:rFonts w:eastAsia="SimSun"/>
                <w:sz w:val="20"/>
                <w:szCs w:val="20"/>
              </w:rPr>
              <w:t xml:space="preserve">-0.006 </w:t>
            </w:r>
          </w:p>
          <w:p w14:paraId="70DEE984" w14:textId="77777777" w:rsidR="00BE2FFE" w:rsidRPr="00F02B68" w:rsidRDefault="00BE2FFE" w:rsidP="00315077">
            <w:pPr>
              <w:jc w:val="center"/>
              <w:rPr>
                <w:rFonts w:eastAsia="SimSun"/>
                <w:sz w:val="20"/>
                <w:szCs w:val="20"/>
              </w:rPr>
            </w:pPr>
            <w:r w:rsidRPr="00F02B68">
              <w:rPr>
                <w:rFonts w:eastAsia="SimSun"/>
                <w:sz w:val="20"/>
                <w:szCs w:val="20"/>
              </w:rPr>
              <w:t xml:space="preserve">(0.016) </w:t>
            </w:r>
          </w:p>
        </w:tc>
        <w:tc>
          <w:tcPr>
            <w:tcW w:w="1567" w:type="dxa"/>
          </w:tcPr>
          <w:p w14:paraId="32B1692F" w14:textId="77777777" w:rsidR="00BE2FFE" w:rsidRPr="00F02B68" w:rsidRDefault="00BE2FFE" w:rsidP="00315077">
            <w:pPr>
              <w:jc w:val="center"/>
              <w:rPr>
                <w:rFonts w:eastAsia="SimSun"/>
                <w:sz w:val="20"/>
                <w:szCs w:val="20"/>
              </w:rPr>
            </w:pPr>
            <w:r w:rsidRPr="00F02B68">
              <w:rPr>
                <w:rFonts w:eastAsia="SimSun"/>
                <w:sz w:val="20"/>
                <w:szCs w:val="20"/>
              </w:rPr>
              <w:t xml:space="preserve">0.037 </w:t>
            </w:r>
          </w:p>
          <w:p w14:paraId="5B1D1035" w14:textId="77777777" w:rsidR="00BE2FFE" w:rsidRPr="00F02B68" w:rsidRDefault="00BE2FFE" w:rsidP="00315077">
            <w:pPr>
              <w:jc w:val="center"/>
              <w:rPr>
                <w:rFonts w:eastAsia="SimSun"/>
                <w:sz w:val="20"/>
                <w:szCs w:val="20"/>
              </w:rPr>
            </w:pPr>
            <w:r w:rsidRPr="00F02B68">
              <w:rPr>
                <w:rFonts w:eastAsia="SimSun"/>
                <w:sz w:val="20"/>
                <w:szCs w:val="20"/>
              </w:rPr>
              <w:t>(0.027)</w:t>
            </w:r>
          </w:p>
        </w:tc>
      </w:tr>
      <w:tr w:rsidR="00BE2FFE" w:rsidRPr="00D071C1" w14:paraId="5985FCC1" w14:textId="77777777" w:rsidTr="00315077">
        <w:trPr>
          <w:jc w:val="center"/>
        </w:trPr>
        <w:tc>
          <w:tcPr>
            <w:tcW w:w="1752" w:type="dxa"/>
          </w:tcPr>
          <w:p w14:paraId="76A3D66A" w14:textId="77777777" w:rsidR="00BE2FFE" w:rsidRPr="00F02B68" w:rsidRDefault="00BE2FFE" w:rsidP="00315077">
            <w:pPr>
              <w:rPr>
                <w:rFonts w:eastAsia="SimSun"/>
                <w:sz w:val="20"/>
                <w:szCs w:val="20"/>
              </w:rPr>
            </w:pPr>
          </w:p>
        </w:tc>
        <w:tc>
          <w:tcPr>
            <w:tcW w:w="1687" w:type="dxa"/>
          </w:tcPr>
          <w:p w14:paraId="06658E35" w14:textId="77777777" w:rsidR="00BE2FFE" w:rsidRPr="00F02B68" w:rsidRDefault="00BE2FFE" w:rsidP="00315077">
            <w:pPr>
              <w:jc w:val="center"/>
              <w:rPr>
                <w:rFonts w:eastAsia="SimSun"/>
                <w:sz w:val="20"/>
                <w:szCs w:val="20"/>
              </w:rPr>
            </w:pPr>
          </w:p>
        </w:tc>
        <w:tc>
          <w:tcPr>
            <w:tcW w:w="1403" w:type="dxa"/>
          </w:tcPr>
          <w:p w14:paraId="010D37BD" w14:textId="77777777" w:rsidR="00BE2FFE" w:rsidRPr="00F02B68" w:rsidRDefault="00BE2FFE" w:rsidP="00315077">
            <w:pPr>
              <w:jc w:val="center"/>
              <w:rPr>
                <w:rFonts w:eastAsia="SimSun"/>
                <w:sz w:val="20"/>
                <w:szCs w:val="20"/>
              </w:rPr>
            </w:pPr>
          </w:p>
        </w:tc>
        <w:tc>
          <w:tcPr>
            <w:tcW w:w="1669" w:type="dxa"/>
          </w:tcPr>
          <w:p w14:paraId="731FEEC7" w14:textId="77777777" w:rsidR="00BE2FFE" w:rsidRPr="00F02B68" w:rsidRDefault="00BE2FFE" w:rsidP="00315077">
            <w:pPr>
              <w:jc w:val="center"/>
              <w:rPr>
                <w:rFonts w:eastAsia="SimSun"/>
                <w:sz w:val="20"/>
                <w:szCs w:val="20"/>
              </w:rPr>
            </w:pPr>
          </w:p>
        </w:tc>
        <w:tc>
          <w:tcPr>
            <w:tcW w:w="1567" w:type="dxa"/>
          </w:tcPr>
          <w:p w14:paraId="2B182D13" w14:textId="77777777" w:rsidR="00BE2FFE" w:rsidRPr="00F02B68" w:rsidRDefault="00BE2FFE" w:rsidP="00315077">
            <w:pPr>
              <w:jc w:val="center"/>
              <w:rPr>
                <w:rFonts w:eastAsia="SimSun"/>
                <w:sz w:val="20"/>
                <w:szCs w:val="20"/>
              </w:rPr>
            </w:pPr>
          </w:p>
        </w:tc>
      </w:tr>
      <w:tr w:rsidR="00BE2FFE" w:rsidRPr="00D071C1" w14:paraId="7C75EC89" w14:textId="77777777" w:rsidTr="00315077">
        <w:trPr>
          <w:jc w:val="center"/>
        </w:trPr>
        <w:tc>
          <w:tcPr>
            <w:tcW w:w="1752" w:type="dxa"/>
            <w:vAlign w:val="center"/>
          </w:tcPr>
          <w:p w14:paraId="043E6390" w14:textId="77777777" w:rsidR="00BE2FFE" w:rsidRPr="00F02B68" w:rsidRDefault="00BE2FFE" w:rsidP="00315077">
            <w:pPr>
              <w:jc w:val="center"/>
              <w:rPr>
                <w:rFonts w:eastAsia="SimSun"/>
                <w:sz w:val="20"/>
                <w:szCs w:val="20"/>
              </w:rPr>
            </w:pPr>
            <w:r w:rsidRPr="00F02B68">
              <w:rPr>
                <w:rFonts w:eastAsia="SimSun"/>
                <w:sz w:val="20"/>
                <w:szCs w:val="20"/>
              </w:rPr>
              <w:t>COD Director</w:t>
            </w:r>
          </w:p>
        </w:tc>
        <w:tc>
          <w:tcPr>
            <w:tcW w:w="1687" w:type="dxa"/>
          </w:tcPr>
          <w:p w14:paraId="687E50EB" w14:textId="77777777" w:rsidR="00BE2FFE" w:rsidRPr="00F02B68" w:rsidRDefault="00BE2FFE" w:rsidP="00315077">
            <w:pPr>
              <w:jc w:val="center"/>
              <w:rPr>
                <w:rFonts w:eastAsia="SimSun"/>
                <w:sz w:val="20"/>
                <w:szCs w:val="20"/>
              </w:rPr>
            </w:pPr>
            <w:r w:rsidRPr="00F02B68">
              <w:rPr>
                <w:rFonts w:eastAsia="SimSun"/>
                <w:sz w:val="20"/>
                <w:szCs w:val="20"/>
              </w:rPr>
              <w:t>0.050**</w:t>
            </w:r>
          </w:p>
          <w:p w14:paraId="50F33DC2" w14:textId="77777777" w:rsidR="00BE2FFE" w:rsidRPr="00F02B68" w:rsidRDefault="00BE2FFE" w:rsidP="00315077">
            <w:pPr>
              <w:jc w:val="center"/>
              <w:rPr>
                <w:rFonts w:eastAsia="SimSun"/>
                <w:sz w:val="20"/>
                <w:szCs w:val="20"/>
              </w:rPr>
            </w:pPr>
            <w:r w:rsidRPr="00F02B68">
              <w:rPr>
                <w:rFonts w:eastAsia="SimSun"/>
                <w:sz w:val="20"/>
                <w:szCs w:val="20"/>
              </w:rPr>
              <w:t xml:space="preserve"> (0.024)</w:t>
            </w:r>
          </w:p>
        </w:tc>
        <w:tc>
          <w:tcPr>
            <w:tcW w:w="1403" w:type="dxa"/>
          </w:tcPr>
          <w:p w14:paraId="1E951505" w14:textId="77777777" w:rsidR="00BE2FFE" w:rsidRPr="00F02B68" w:rsidRDefault="00BE2FFE" w:rsidP="00315077">
            <w:pPr>
              <w:jc w:val="center"/>
              <w:rPr>
                <w:rFonts w:eastAsia="SimSun"/>
                <w:sz w:val="20"/>
                <w:szCs w:val="20"/>
              </w:rPr>
            </w:pPr>
            <w:r w:rsidRPr="00F02B68">
              <w:rPr>
                <w:rFonts w:eastAsia="SimSun"/>
                <w:sz w:val="20"/>
                <w:szCs w:val="20"/>
              </w:rPr>
              <w:t xml:space="preserve">  -.028* </w:t>
            </w:r>
          </w:p>
          <w:p w14:paraId="5854169D" w14:textId="77777777" w:rsidR="00BE2FFE" w:rsidRPr="00F02B68" w:rsidRDefault="00BE2FFE" w:rsidP="00315077">
            <w:pPr>
              <w:jc w:val="center"/>
              <w:rPr>
                <w:rFonts w:eastAsia="SimSun"/>
                <w:sz w:val="20"/>
                <w:szCs w:val="20"/>
              </w:rPr>
            </w:pPr>
            <w:r w:rsidRPr="00F02B68">
              <w:rPr>
                <w:rFonts w:eastAsia="SimSun"/>
                <w:sz w:val="20"/>
                <w:szCs w:val="20"/>
              </w:rPr>
              <w:t>(.017)</w:t>
            </w:r>
          </w:p>
        </w:tc>
        <w:tc>
          <w:tcPr>
            <w:tcW w:w="1669" w:type="dxa"/>
          </w:tcPr>
          <w:p w14:paraId="2CF46EE9" w14:textId="77777777" w:rsidR="00BE2FFE" w:rsidRPr="00F02B68" w:rsidRDefault="00BE2FFE" w:rsidP="00315077">
            <w:pPr>
              <w:jc w:val="center"/>
              <w:rPr>
                <w:rFonts w:eastAsia="SimSun"/>
                <w:sz w:val="20"/>
                <w:szCs w:val="20"/>
              </w:rPr>
            </w:pPr>
            <w:r w:rsidRPr="00F02B68">
              <w:rPr>
                <w:rFonts w:eastAsia="SimSun"/>
                <w:sz w:val="20"/>
                <w:szCs w:val="20"/>
              </w:rPr>
              <w:t>-0.013</w:t>
            </w:r>
          </w:p>
          <w:p w14:paraId="384FAD5F" w14:textId="77777777" w:rsidR="00BE2FFE" w:rsidRPr="00F02B68" w:rsidRDefault="00BE2FFE" w:rsidP="00315077">
            <w:pPr>
              <w:jc w:val="center"/>
              <w:rPr>
                <w:rFonts w:eastAsia="SimSun"/>
                <w:sz w:val="20"/>
                <w:szCs w:val="20"/>
              </w:rPr>
            </w:pPr>
            <w:r w:rsidRPr="00F02B68">
              <w:rPr>
                <w:rFonts w:eastAsia="SimSun"/>
                <w:sz w:val="20"/>
                <w:szCs w:val="20"/>
              </w:rPr>
              <w:t>(0.018)</w:t>
            </w:r>
          </w:p>
        </w:tc>
        <w:tc>
          <w:tcPr>
            <w:tcW w:w="1567" w:type="dxa"/>
          </w:tcPr>
          <w:p w14:paraId="63BAEF59" w14:textId="77777777" w:rsidR="00BE2FFE" w:rsidRPr="00F02B68" w:rsidRDefault="00BE2FFE" w:rsidP="00315077">
            <w:pPr>
              <w:jc w:val="center"/>
              <w:rPr>
                <w:rFonts w:eastAsia="SimSun"/>
                <w:sz w:val="20"/>
                <w:szCs w:val="20"/>
              </w:rPr>
            </w:pPr>
            <w:r w:rsidRPr="00F02B68">
              <w:rPr>
                <w:rFonts w:eastAsia="SimSun"/>
                <w:sz w:val="20"/>
                <w:szCs w:val="20"/>
              </w:rPr>
              <w:t>0.042*</w:t>
            </w:r>
          </w:p>
          <w:p w14:paraId="157D215F" w14:textId="77777777" w:rsidR="00BE2FFE" w:rsidRPr="00F02B68" w:rsidRDefault="00BE2FFE" w:rsidP="00315077">
            <w:pPr>
              <w:jc w:val="center"/>
              <w:rPr>
                <w:rFonts w:eastAsia="SimSun"/>
                <w:sz w:val="20"/>
                <w:szCs w:val="20"/>
              </w:rPr>
            </w:pPr>
            <w:r w:rsidRPr="00F02B68">
              <w:rPr>
                <w:rFonts w:eastAsia="SimSun"/>
                <w:sz w:val="20"/>
                <w:szCs w:val="20"/>
              </w:rPr>
              <w:t>(0.024)</w:t>
            </w:r>
          </w:p>
        </w:tc>
      </w:tr>
      <w:tr w:rsidR="00BE2FFE" w:rsidRPr="00D071C1" w14:paraId="7CD95307" w14:textId="77777777" w:rsidTr="00315077">
        <w:trPr>
          <w:jc w:val="center"/>
        </w:trPr>
        <w:tc>
          <w:tcPr>
            <w:tcW w:w="1752" w:type="dxa"/>
          </w:tcPr>
          <w:p w14:paraId="5300385B" w14:textId="77777777" w:rsidR="00BE2FFE" w:rsidRPr="00F02B68" w:rsidRDefault="00BE2FFE" w:rsidP="00315077">
            <w:pPr>
              <w:rPr>
                <w:rFonts w:eastAsia="SimSun"/>
                <w:sz w:val="20"/>
                <w:szCs w:val="20"/>
              </w:rPr>
            </w:pPr>
          </w:p>
        </w:tc>
        <w:tc>
          <w:tcPr>
            <w:tcW w:w="1687" w:type="dxa"/>
          </w:tcPr>
          <w:p w14:paraId="4A7EED2D" w14:textId="77777777" w:rsidR="00BE2FFE" w:rsidRPr="00F02B68" w:rsidRDefault="00BE2FFE" w:rsidP="00315077">
            <w:pPr>
              <w:jc w:val="center"/>
              <w:rPr>
                <w:rFonts w:eastAsia="SimSun"/>
                <w:sz w:val="20"/>
                <w:szCs w:val="20"/>
              </w:rPr>
            </w:pPr>
          </w:p>
        </w:tc>
        <w:tc>
          <w:tcPr>
            <w:tcW w:w="1403" w:type="dxa"/>
          </w:tcPr>
          <w:p w14:paraId="025DA354" w14:textId="77777777" w:rsidR="00BE2FFE" w:rsidRPr="00F02B68" w:rsidRDefault="00BE2FFE" w:rsidP="00315077">
            <w:pPr>
              <w:jc w:val="center"/>
              <w:rPr>
                <w:rFonts w:eastAsia="SimSun"/>
                <w:sz w:val="20"/>
                <w:szCs w:val="20"/>
              </w:rPr>
            </w:pPr>
          </w:p>
        </w:tc>
        <w:tc>
          <w:tcPr>
            <w:tcW w:w="1669" w:type="dxa"/>
          </w:tcPr>
          <w:p w14:paraId="5D4F8808" w14:textId="77777777" w:rsidR="00BE2FFE" w:rsidRPr="00F02B68" w:rsidRDefault="00BE2FFE" w:rsidP="00315077">
            <w:pPr>
              <w:jc w:val="center"/>
              <w:rPr>
                <w:rFonts w:eastAsia="SimSun"/>
                <w:sz w:val="20"/>
                <w:szCs w:val="20"/>
              </w:rPr>
            </w:pPr>
          </w:p>
        </w:tc>
        <w:tc>
          <w:tcPr>
            <w:tcW w:w="1567" w:type="dxa"/>
          </w:tcPr>
          <w:p w14:paraId="4F2295CA" w14:textId="77777777" w:rsidR="00BE2FFE" w:rsidRPr="00F02B68" w:rsidRDefault="00BE2FFE" w:rsidP="00315077">
            <w:pPr>
              <w:jc w:val="center"/>
              <w:rPr>
                <w:rFonts w:eastAsia="SimSun"/>
                <w:sz w:val="20"/>
                <w:szCs w:val="20"/>
              </w:rPr>
            </w:pPr>
          </w:p>
        </w:tc>
      </w:tr>
      <w:tr w:rsidR="00BE2FFE" w:rsidRPr="00D071C1" w14:paraId="3241E78E" w14:textId="77777777" w:rsidTr="00315077">
        <w:trPr>
          <w:jc w:val="center"/>
        </w:trPr>
        <w:tc>
          <w:tcPr>
            <w:tcW w:w="1752" w:type="dxa"/>
            <w:tcBorders>
              <w:bottom w:val="single" w:sz="4" w:space="0" w:color="auto"/>
            </w:tcBorders>
          </w:tcPr>
          <w:p w14:paraId="38531BEB" w14:textId="77777777" w:rsidR="00BE2FFE" w:rsidRPr="00F02B68" w:rsidRDefault="00BE2FFE" w:rsidP="00315077">
            <w:pPr>
              <w:jc w:val="center"/>
              <w:rPr>
                <w:rFonts w:eastAsia="SimSun"/>
                <w:sz w:val="20"/>
                <w:szCs w:val="20"/>
              </w:rPr>
            </w:pPr>
            <w:r w:rsidRPr="00F02B68">
              <w:rPr>
                <w:rFonts w:eastAsia="SimSun"/>
                <w:sz w:val="20"/>
                <w:szCs w:val="20"/>
              </w:rPr>
              <w:t>Cumulative Connections</w:t>
            </w:r>
          </w:p>
        </w:tc>
        <w:tc>
          <w:tcPr>
            <w:tcW w:w="1687" w:type="dxa"/>
            <w:tcBorders>
              <w:bottom w:val="single" w:sz="4" w:space="0" w:color="auto"/>
            </w:tcBorders>
          </w:tcPr>
          <w:p w14:paraId="6762E142" w14:textId="77777777" w:rsidR="00BE2FFE" w:rsidRPr="00F02B68" w:rsidRDefault="00BE2FFE" w:rsidP="00315077">
            <w:pPr>
              <w:jc w:val="center"/>
              <w:rPr>
                <w:rFonts w:eastAsia="SimSun"/>
                <w:sz w:val="20"/>
                <w:szCs w:val="20"/>
              </w:rPr>
            </w:pPr>
            <w:r w:rsidRPr="00F02B68">
              <w:rPr>
                <w:rFonts w:eastAsia="SimSun"/>
                <w:sz w:val="20"/>
                <w:szCs w:val="20"/>
              </w:rPr>
              <w:t>0.021**</w:t>
            </w:r>
          </w:p>
          <w:p w14:paraId="5768877A" w14:textId="77777777" w:rsidR="00BE2FFE" w:rsidRPr="00F02B68" w:rsidRDefault="00BE2FFE" w:rsidP="00315077">
            <w:pPr>
              <w:jc w:val="center"/>
              <w:rPr>
                <w:rFonts w:eastAsia="SimSun"/>
                <w:sz w:val="20"/>
                <w:szCs w:val="20"/>
              </w:rPr>
            </w:pPr>
            <w:r w:rsidRPr="00F02B68">
              <w:rPr>
                <w:rFonts w:eastAsia="SimSun"/>
                <w:sz w:val="20"/>
                <w:szCs w:val="20"/>
              </w:rPr>
              <w:t xml:space="preserve"> (.011)</w:t>
            </w:r>
          </w:p>
        </w:tc>
        <w:tc>
          <w:tcPr>
            <w:tcW w:w="1403" w:type="dxa"/>
            <w:tcBorders>
              <w:bottom w:val="single" w:sz="4" w:space="0" w:color="auto"/>
            </w:tcBorders>
          </w:tcPr>
          <w:p w14:paraId="60223FBD" w14:textId="77777777" w:rsidR="00BE2FFE" w:rsidRPr="00F02B68" w:rsidRDefault="00BE2FFE" w:rsidP="00315077">
            <w:pPr>
              <w:jc w:val="center"/>
              <w:rPr>
                <w:rFonts w:eastAsia="SimSun"/>
                <w:sz w:val="20"/>
                <w:szCs w:val="20"/>
              </w:rPr>
            </w:pPr>
            <w:r w:rsidRPr="00F02B68">
              <w:rPr>
                <w:rFonts w:eastAsia="SimSun"/>
                <w:sz w:val="20"/>
                <w:szCs w:val="20"/>
              </w:rPr>
              <w:t>-0.019**</w:t>
            </w:r>
          </w:p>
          <w:p w14:paraId="1CF42F7F" w14:textId="77777777" w:rsidR="00BE2FFE" w:rsidRPr="00F02B68" w:rsidRDefault="00BE2FFE" w:rsidP="00315077">
            <w:pPr>
              <w:jc w:val="center"/>
              <w:rPr>
                <w:rFonts w:eastAsia="SimSun"/>
                <w:sz w:val="20"/>
                <w:szCs w:val="20"/>
              </w:rPr>
            </w:pPr>
            <w:r w:rsidRPr="00F02B68">
              <w:rPr>
                <w:rFonts w:eastAsia="SimSun"/>
                <w:sz w:val="20"/>
                <w:szCs w:val="20"/>
              </w:rPr>
              <w:t xml:space="preserve"> (0.009)</w:t>
            </w:r>
          </w:p>
        </w:tc>
        <w:tc>
          <w:tcPr>
            <w:tcW w:w="1669" w:type="dxa"/>
            <w:tcBorders>
              <w:bottom w:val="single" w:sz="4" w:space="0" w:color="auto"/>
            </w:tcBorders>
          </w:tcPr>
          <w:p w14:paraId="5ECEDBF3" w14:textId="77777777" w:rsidR="00BE2FFE" w:rsidRPr="00F02B68" w:rsidRDefault="00BE2FFE" w:rsidP="00315077">
            <w:pPr>
              <w:jc w:val="center"/>
              <w:rPr>
                <w:rFonts w:eastAsia="SimSun"/>
                <w:sz w:val="20"/>
                <w:szCs w:val="20"/>
              </w:rPr>
            </w:pPr>
            <w:r w:rsidRPr="00F02B68">
              <w:rPr>
                <w:rFonts w:eastAsia="SimSun"/>
                <w:sz w:val="20"/>
                <w:szCs w:val="20"/>
              </w:rPr>
              <w:t xml:space="preserve">-0.006 </w:t>
            </w:r>
          </w:p>
          <w:p w14:paraId="40D8D7B0" w14:textId="77777777" w:rsidR="00BE2FFE" w:rsidRPr="00F02B68" w:rsidRDefault="00BE2FFE" w:rsidP="00315077">
            <w:pPr>
              <w:jc w:val="center"/>
              <w:rPr>
                <w:rFonts w:eastAsia="SimSun"/>
                <w:sz w:val="20"/>
                <w:szCs w:val="20"/>
              </w:rPr>
            </w:pPr>
            <w:r w:rsidRPr="00F02B68">
              <w:rPr>
                <w:rFonts w:eastAsia="SimSun"/>
                <w:sz w:val="20"/>
                <w:szCs w:val="20"/>
              </w:rPr>
              <w:t>(0.008)</w:t>
            </w:r>
          </w:p>
        </w:tc>
        <w:tc>
          <w:tcPr>
            <w:tcW w:w="1567" w:type="dxa"/>
            <w:tcBorders>
              <w:bottom w:val="single" w:sz="4" w:space="0" w:color="auto"/>
            </w:tcBorders>
          </w:tcPr>
          <w:p w14:paraId="59D74FAE" w14:textId="77777777" w:rsidR="00BE2FFE" w:rsidRPr="00F02B68" w:rsidRDefault="00BE2FFE" w:rsidP="00315077">
            <w:pPr>
              <w:jc w:val="center"/>
              <w:rPr>
                <w:rFonts w:eastAsia="SimSun"/>
                <w:sz w:val="20"/>
                <w:szCs w:val="20"/>
              </w:rPr>
            </w:pPr>
            <w:r w:rsidRPr="00F02B68">
              <w:rPr>
                <w:rFonts w:eastAsia="SimSun"/>
                <w:sz w:val="20"/>
                <w:szCs w:val="20"/>
              </w:rPr>
              <w:t>0.025**</w:t>
            </w:r>
          </w:p>
          <w:p w14:paraId="3418B0C3" w14:textId="77777777" w:rsidR="00BE2FFE" w:rsidRPr="00F02B68" w:rsidRDefault="00BE2FFE" w:rsidP="00315077">
            <w:pPr>
              <w:jc w:val="center"/>
              <w:rPr>
                <w:rFonts w:eastAsia="SimSun"/>
                <w:sz w:val="20"/>
                <w:szCs w:val="20"/>
              </w:rPr>
            </w:pPr>
            <w:r w:rsidRPr="00F02B68">
              <w:rPr>
                <w:rFonts w:eastAsia="SimSun"/>
                <w:sz w:val="20"/>
                <w:szCs w:val="20"/>
              </w:rPr>
              <w:t>(0.012)</w:t>
            </w:r>
          </w:p>
        </w:tc>
      </w:tr>
    </w:tbl>
    <w:p w14:paraId="255D0DB3" w14:textId="77777777" w:rsidR="00BE2FFE" w:rsidRPr="00F02B68" w:rsidRDefault="00BE2FFE" w:rsidP="00BE2FFE">
      <w:pPr>
        <w:widowControl w:val="0"/>
        <w:autoSpaceDE w:val="0"/>
        <w:autoSpaceDN w:val="0"/>
        <w:adjustRightInd w:val="0"/>
        <w:rPr>
          <w:sz w:val="20"/>
          <w:szCs w:val="20"/>
        </w:rPr>
      </w:pPr>
      <w:r w:rsidRPr="00F02B68">
        <w:rPr>
          <w:sz w:val="20"/>
          <w:szCs w:val="20"/>
        </w:rPr>
        <w:t xml:space="preserve">Marginal effects for connections with the central administration, SASAC director, and Central Organization Department director, as well as cumulative connections. Column 1 presents results from logit regressions. Columns 2-4 present results from multinomial logit models. Full results available in the appendix. Columns 2 and 3 present the marginal effects of exit and mobility to government, respectively, compared to remaining in the state-owned sector. Column 4 presents the baseline effects which should be interpreted as the sum of the effects on exit and government. </w:t>
      </w:r>
    </w:p>
    <w:p w14:paraId="5EC3366B" w14:textId="170FCF9A" w:rsidR="00BE2FFE" w:rsidRPr="00BE2FFE" w:rsidRDefault="00BE2FFE" w:rsidP="00BE2FFE">
      <w:pPr>
        <w:widowControl w:val="0"/>
        <w:autoSpaceDE w:val="0"/>
        <w:autoSpaceDN w:val="0"/>
        <w:adjustRightInd w:val="0"/>
        <w:rPr>
          <w:sz w:val="20"/>
          <w:szCs w:val="20"/>
        </w:rPr>
      </w:pPr>
      <w:r w:rsidRPr="00F02B68">
        <w:rPr>
          <w:sz w:val="20"/>
          <w:szCs w:val="20"/>
        </w:rPr>
        <w:t>Robust standard errors clustered at the individual level. *** p&lt;0.01, ** p&lt;0.05, * p&lt;0.1</w:t>
      </w:r>
    </w:p>
    <w:p w14:paraId="0EEDF0F0" w14:textId="549BF553" w:rsidR="00BE2FFE" w:rsidRDefault="00BE2FFE" w:rsidP="008E0CD3">
      <w:pPr>
        <w:ind w:firstLine="720"/>
      </w:pPr>
    </w:p>
    <w:p w14:paraId="7E1F5BB2" w14:textId="77777777" w:rsidR="00BE2FFE" w:rsidRDefault="00BE2FFE" w:rsidP="008E0CD3">
      <w:pPr>
        <w:ind w:firstLine="720"/>
      </w:pPr>
    </w:p>
    <w:p w14:paraId="4898843D" w14:textId="020B84AF" w:rsidR="008E0CD3" w:rsidRPr="00211DAB" w:rsidRDefault="008E0CD3" w:rsidP="008E0CD3">
      <w:pPr>
        <w:ind w:firstLine="720"/>
      </w:pPr>
      <w:r w:rsidRPr="00211DAB">
        <w:t>Of the experience measures, only leadership years is statistically significant, although the effect is small and temporally bound: one additional year in position decreases the probability of power continuation by 0.7 percent. This effect, however, disappears as tenure grows: longer tenures do not have a correlation with power continuation.</w:t>
      </w:r>
      <w:r w:rsidRPr="00211DAB">
        <w:rPr>
          <w:rStyle w:val="FootnoteReference"/>
        </w:rPr>
        <w:footnoteReference w:id="66"/>
      </w:r>
      <w:r w:rsidRPr="00211DAB">
        <w:t xml:space="preserve"> This correlation is also collinear with age and likely picking up some of the effect of age. Having experience at either local or central level government does not change the likelihood of staying in the political game. The primary determinant of exit is age. Both age and age squared are significant, suggesting a non-linear relationship. </w:t>
      </w:r>
    </w:p>
    <w:p w14:paraId="1E15EABC" w14:textId="140DC71C" w:rsidR="008E0CD3" w:rsidRDefault="008E0CD3" w:rsidP="008E0CD3">
      <w:pPr>
        <w:snapToGrid w:val="0"/>
        <w:jc w:val="both"/>
        <w:rPr>
          <w:rFonts w:eastAsia="SimSun"/>
          <w:i/>
        </w:rPr>
      </w:pPr>
    </w:p>
    <w:p w14:paraId="6F9C31FE" w14:textId="5636DFA6" w:rsidR="00BE2FFE" w:rsidRDefault="00BE2FFE" w:rsidP="008E0CD3">
      <w:pPr>
        <w:snapToGrid w:val="0"/>
        <w:jc w:val="both"/>
        <w:rPr>
          <w:rFonts w:eastAsia="SimSun"/>
          <w:i/>
        </w:rPr>
      </w:pPr>
    </w:p>
    <w:p w14:paraId="122EBF3F" w14:textId="77777777" w:rsidR="00BE2FFE" w:rsidRPr="00211DAB" w:rsidRDefault="00BE2FFE" w:rsidP="008E0CD3">
      <w:pPr>
        <w:snapToGrid w:val="0"/>
        <w:jc w:val="both"/>
        <w:rPr>
          <w:rFonts w:eastAsia="SimSun"/>
          <w:i/>
        </w:rPr>
      </w:pPr>
    </w:p>
    <w:p w14:paraId="49DAE837" w14:textId="77777777" w:rsidR="008E0CD3" w:rsidRPr="00211DAB" w:rsidRDefault="008E0CD3" w:rsidP="008E0CD3">
      <w:pPr>
        <w:snapToGrid w:val="0"/>
        <w:rPr>
          <w:rFonts w:eastAsia="SimSun"/>
          <w:i/>
        </w:rPr>
      </w:pPr>
      <w:r w:rsidRPr="00211DAB">
        <w:rPr>
          <w:rFonts w:eastAsia="SimSun"/>
          <w:i/>
        </w:rPr>
        <w:lastRenderedPageBreak/>
        <w:t xml:space="preserve">Disaggregating </w:t>
      </w:r>
      <w:r>
        <w:rPr>
          <w:rFonts w:eastAsia="SimSun"/>
          <w:i/>
        </w:rPr>
        <w:t>P</w:t>
      </w:r>
      <w:r w:rsidRPr="00211DAB">
        <w:rPr>
          <w:rFonts w:eastAsia="SimSun"/>
          <w:i/>
        </w:rPr>
        <w:t xml:space="preserve">ower </w:t>
      </w:r>
      <w:r>
        <w:rPr>
          <w:rFonts w:eastAsia="SimSun"/>
          <w:i/>
        </w:rPr>
        <w:t>C</w:t>
      </w:r>
      <w:r w:rsidRPr="00211DAB">
        <w:rPr>
          <w:rFonts w:eastAsia="SimSun"/>
          <w:i/>
        </w:rPr>
        <w:t>ontinuation</w:t>
      </w:r>
    </w:p>
    <w:p w14:paraId="6E0B6F7A" w14:textId="77777777" w:rsidR="008E0CD3" w:rsidRPr="00211DAB" w:rsidRDefault="008E0CD3" w:rsidP="008E0CD3">
      <w:pPr>
        <w:snapToGrid w:val="0"/>
        <w:ind w:firstLine="720"/>
        <w:rPr>
          <w:rFonts w:eastAsia="SimSun"/>
        </w:rPr>
      </w:pPr>
      <w:r w:rsidRPr="00211DAB">
        <w:rPr>
          <w:rFonts w:eastAsia="SimSun"/>
        </w:rPr>
        <w:t>The power continuation model groups multiple outcomes together. In reality, SOE leaders can maintain power in different ways: by staying in the state-owned economy (either remaining in their current firm or rotating to another central SOE) or by taking up a post in government. We treat these outcomes as categorical in nature. While a move to a government position provides the possibility of a rank-based promotion, maintaining a position in a central SOE may provide greater financial benefits. In this section, we present three-level models disaggregated by outcome (exit, stay in SOE, move to government).</w:t>
      </w:r>
    </w:p>
    <w:p w14:paraId="47C091EF" w14:textId="39AE7226" w:rsidR="008E0CD3" w:rsidRDefault="008E0CD3" w:rsidP="008E0CD3">
      <w:pPr>
        <w:snapToGrid w:val="0"/>
        <w:ind w:firstLine="720"/>
        <w:rPr>
          <w:rFonts w:eastAsia="SimSun"/>
        </w:rPr>
      </w:pPr>
      <w:r w:rsidRPr="00211DAB">
        <w:rPr>
          <w:rFonts w:eastAsia="SimSun"/>
        </w:rPr>
        <w:t xml:space="preserve">In the three-level multinomial models, there is some supporting evidence that firm performance influences political mobility (Figure 5). Performance, ROA level, is positively correlated with staying in one’s position in the state-owned economy, but not correlated with exit </w:t>
      </w:r>
      <w:r w:rsidRPr="00635C27">
        <w:rPr>
          <w:rFonts w:eastAsia="SimSun"/>
        </w:rPr>
        <w:t>or a move to government. Leaders who oversee an increase in ROA (ROA differenced positive) are significantly less likely to be rotated into the government and more likely to stay in the state-owned economy; leaders who see negative growth (ROA differenced negative) are more likely to exit than to stay in their SOE position. Taken together, these results provide more specifying evidence for Hypothesis 1, that leaders of firms performing well are both more likely to stay in their position rather than exiting and more likely to stay in the state-owned sector rather than being rotated to the government.</w:t>
      </w:r>
    </w:p>
    <w:p w14:paraId="745DECCD" w14:textId="52525BDF" w:rsidR="00315077" w:rsidRDefault="00315077" w:rsidP="008E0CD3">
      <w:pPr>
        <w:snapToGrid w:val="0"/>
        <w:ind w:firstLine="720"/>
        <w:rPr>
          <w:rFonts w:eastAsia="SimSun"/>
        </w:rPr>
      </w:pPr>
    </w:p>
    <w:p w14:paraId="3C9B6D54" w14:textId="31BDF7E6" w:rsidR="00315077" w:rsidRDefault="00315077" w:rsidP="008E0CD3">
      <w:pPr>
        <w:snapToGrid w:val="0"/>
        <w:ind w:firstLine="720"/>
        <w:rPr>
          <w:rFonts w:eastAsia="SimSun"/>
        </w:rPr>
      </w:pPr>
    </w:p>
    <w:p w14:paraId="5FDBF7DD" w14:textId="14C0B3CD" w:rsidR="00315077" w:rsidRDefault="00315077" w:rsidP="008E0CD3">
      <w:pPr>
        <w:snapToGrid w:val="0"/>
        <w:ind w:firstLine="720"/>
        <w:rPr>
          <w:rFonts w:eastAsia="SimSun"/>
        </w:rPr>
      </w:pPr>
    </w:p>
    <w:p w14:paraId="3FBE8322" w14:textId="0AB98A05" w:rsidR="00315077" w:rsidRDefault="00315077" w:rsidP="008E0CD3">
      <w:pPr>
        <w:snapToGrid w:val="0"/>
        <w:ind w:firstLine="720"/>
        <w:rPr>
          <w:rFonts w:eastAsia="SimSun"/>
        </w:rPr>
      </w:pPr>
    </w:p>
    <w:p w14:paraId="0AF08D0E" w14:textId="495FFE25" w:rsidR="00315077" w:rsidRDefault="00315077" w:rsidP="008E0CD3">
      <w:pPr>
        <w:snapToGrid w:val="0"/>
        <w:ind w:firstLine="720"/>
        <w:rPr>
          <w:rFonts w:eastAsia="SimSun"/>
        </w:rPr>
      </w:pPr>
    </w:p>
    <w:p w14:paraId="02A5A3CB" w14:textId="278947C3" w:rsidR="00315077" w:rsidRDefault="00315077" w:rsidP="008E0CD3">
      <w:pPr>
        <w:snapToGrid w:val="0"/>
        <w:ind w:firstLine="720"/>
        <w:rPr>
          <w:rFonts w:eastAsia="SimSun"/>
        </w:rPr>
      </w:pPr>
    </w:p>
    <w:p w14:paraId="5892D357" w14:textId="13C296BC" w:rsidR="00315077" w:rsidRDefault="00315077" w:rsidP="008E0CD3">
      <w:pPr>
        <w:snapToGrid w:val="0"/>
        <w:ind w:firstLine="720"/>
        <w:rPr>
          <w:rFonts w:eastAsia="SimSun"/>
        </w:rPr>
      </w:pPr>
    </w:p>
    <w:p w14:paraId="2B1D73E1" w14:textId="23F34074" w:rsidR="00315077" w:rsidRDefault="00315077" w:rsidP="008E0CD3">
      <w:pPr>
        <w:snapToGrid w:val="0"/>
        <w:ind w:firstLine="720"/>
        <w:rPr>
          <w:rFonts w:eastAsia="SimSun"/>
        </w:rPr>
      </w:pPr>
    </w:p>
    <w:p w14:paraId="45FC6115" w14:textId="7E252C48" w:rsidR="00315077" w:rsidRDefault="00315077" w:rsidP="008E0CD3">
      <w:pPr>
        <w:snapToGrid w:val="0"/>
        <w:ind w:firstLine="720"/>
        <w:rPr>
          <w:rFonts w:eastAsia="SimSun"/>
        </w:rPr>
      </w:pPr>
    </w:p>
    <w:p w14:paraId="7320B532" w14:textId="48D446DC" w:rsidR="00315077" w:rsidRDefault="00315077" w:rsidP="008E0CD3">
      <w:pPr>
        <w:snapToGrid w:val="0"/>
        <w:ind w:firstLine="720"/>
        <w:rPr>
          <w:rFonts w:eastAsia="SimSun"/>
        </w:rPr>
      </w:pPr>
    </w:p>
    <w:p w14:paraId="12AF3DF7" w14:textId="67E8F09D" w:rsidR="00315077" w:rsidRDefault="00315077" w:rsidP="008E0CD3">
      <w:pPr>
        <w:snapToGrid w:val="0"/>
        <w:ind w:firstLine="720"/>
        <w:rPr>
          <w:rFonts w:eastAsia="SimSun"/>
        </w:rPr>
      </w:pPr>
    </w:p>
    <w:p w14:paraId="6E63A69A" w14:textId="7FFB4D8A" w:rsidR="00315077" w:rsidRDefault="00315077" w:rsidP="008E0CD3">
      <w:pPr>
        <w:snapToGrid w:val="0"/>
        <w:ind w:firstLine="720"/>
        <w:rPr>
          <w:rFonts w:eastAsia="SimSun"/>
        </w:rPr>
      </w:pPr>
    </w:p>
    <w:p w14:paraId="66DAA10A" w14:textId="6C60EADA" w:rsidR="00315077" w:rsidRDefault="00315077" w:rsidP="008E0CD3">
      <w:pPr>
        <w:snapToGrid w:val="0"/>
        <w:ind w:firstLine="720"/>
        <w:rPr>
          <w:rFonts w:eastAsia="SimSun"/>
        </w:rPr>
      </w:pPr>
    </w:p>
    <w:p w14:paraId="5D1E8E73" w14:textId="784BC949" w:rsidR="00315077" w:rsidRDefault="00315077" w:rsidP="008E0CD3">
      <w:pPr>
        <w:snapToGrid w:val="0"/>
        <w:ind w:firstLine="720"/>
        <w:rPr>
          <w:rFonts w:eastAsia="SimSun"/>
        </w:rPr>
      </w:pPr>
    </w:p>
    <w:p w14:paraId="0E75EADC" w14:textId="5CBFBEC8" w:rsidR="00315077" w:rsidRDefault="00315077" w:rsidP="008E0CD3">
      <w:pPr>
        <w:snapToGrid w:val="0"/>
        <w:ind w:firstLine="720"/>
        <w:rPr>
          <w:rFonts w:eastAsia="SimSun"/>
        </w:rPr>
      </w:pPr>
    </w:p>
    <w:p w14:paraId="4306D5B9" w14:textId="7841F697" w:rsidR="00315077" w:rsidRDefault="00315077" w:rsidP="008E0CD3">
      <w:pPr>
        <w:snapToGrid w:val="0"/>
        <w:ind w:firstLine="720"/>
        <w:rPr>
          <w:rFonts w:eastAsia="SimSun"/>
        </w:rPr>
      </w:pPr>
    </w:p>
    <w:p w14:paraId="159DFDA3" w14:textId="69181693" w:rsidR="00315077" w:rsidRDefault="00315077" w:rsidP="008E0CD3">
      <w:pPr>
        <w:snapToGrid w:val="0"/>
        <w:ind w:firstLine="720"/>
        <w:rPr>
          <w:rFonts w:eastAsia="SimSun"/>
        </w:rPr>
      </w:pPr>
    </w:p>
    <w:p w14:paraId="5C2706BA" w14:textId="6039FB0A" w:rsidR="00315077" w:rsidRDefault="00315077" w:rsidP="008E0CD3">
      <w:pPr>
        <w:snapToGrid w:val="0"/>
        <w:ind w:firstLine="720"/>
        <w:rPr>
          <w:rFonts w:eastAsia="SimSun"/>
        </w:rPr>
      </w:pPr>
    </w:p>
    <w:p w14:paraId="2B6096EF" w14:textId="338B22AC" w:rsidR="00315077" w:rsidRDefault="00315077" w:rsidP="008E0CD3">
      <w:pPr>
        <w:snapToGrid w:val="0"/>
        <w:ind w:firstLine="720"/>
        <w:rPr>
          <w:rFonts w:eastAsia="SimSun"/>
        </w:rPr>
      </w:pPr>
    </w:p>
    <w:p w14:paraId="7BBDDDC6" w14:textId="3DF1E519" w:rsidR="00315077" w:rsidRDefault="00315077" w:rsidP="008E0CD3">
      <w:pPr>
        <w:snapToGrid w:val="0"/>
        <w:ind w:firstLine="720"/>
        <w:rPr>
          <w:rFonts w:eastAsia="SimSun"/>
        </w:rPr>
      </w:pPr>
    </w:p>
    <w:p w14:paraId="03EEC6C7" w14:textId="7A4C79D6" w:rsidR="00315077" w:rsidRDefault="00315077" w:rsidP="008E0CD3">
      <w:pPr>
        <w:snapToGrid w:val="0"/>
        <w:ind w:firstLine="720"/>
        <w:rPr>
          <w:rFonts w:eastAsia="SimSun"/>
        </w:rPr>
      </w:pPr>
    </w:p>
    <w:p w14:paraId="62EAF3C3" w14:textId="6A9664C4" w:rsidR="00315077" w:rsidRDefault="00315077" w:rsidP="008E0CD3">
      <w:pPr>
        <w:snapToGrid w:val="0"/>
        <w:ind w:firstLine="720"/>
        <w:rPr>
          <w:rFonts w:eastAsia="SimSun"/>
        </w:rPr>
      </w:pPr>
    </w:p>
    <w:p w14:paraId="26A4A6BF" w14:textId="159DA450" w:rsidR="00315077" w:rsidRDefault="00315077" w:rsidP="008E0CD3">
      <w:pPr>
        <w:snapToGrid w:val="0"/>
        <w:ind w:firstLine="720"/>
        <w:rPr>
          <w:rFonts w:eastAsia="SimSun"/>
        </w:rPr>
      </w:pPr>
    </w:p>
    <w:p w14:paraId="5BB54A02" w14:textId="54E50A5D" w:rsidR="00315077" w:rsidRDefault="00315077" w:rsidP="008E0CD3">
      <w:pPr>
        <w:snapToGrid w:val="0"/>
        <w:ind w:firstLine="720"/>
        <w:rPr>
          <w:rFonts w:eastAsia="SimSun"/>
        </w:rPr>
      </w:pPr>
    </w:p>
    <w:p w14:paraId="71CB713E" w14:textId="24C44119" w:rsidR="00315077" w:rsidRDefault="00315077" w:rsidP="008E0CD3">
      <w:pPr>
        <w:snapToGrid w:val="0"/>
        <w:ind w:firstLine="720"/>
        <w:rPr>
          <w:rFonts w:eastAsia="SimSun"/>
        </w:rPr>
      </w:pPr>
    </w:p>
    <w:p w14:paraId="18023360" w14:textId="2779B4CE" w:rsidR="00315077" w:rsidRDefault="00315077" w:rsidP="008E0CD3">
      <w:pPr>
        <w:snapToGrid w:val="0"/>
        <w:ind w:firstLine="720"/>
        <w:rPr>
          <w:rFonts w:eastAsia="SimSun"/>
        </w:rPr>
      </w:pPr>
    </w:p>
    <w:p w14:paraId="031A0EE4" w14:textId="19BA0251" w:rsidR="00315077" w:rsidRDefault="00315077" w:rsidP="008E0CD3">
      <w:pPr>
        <w:snapToGrid w:val="0"/>
        <w:ind w:firstLine="720"/>
        <w:rPr>
          <w:rFonts w:eastAsia="SimSun"/>
        </w:rPr>
      </w:pPr>
    </w:p>
    <w:p w14:paraId="0FF7ADD4" w14:textId="2BD464AD" w:rsidR="00315077" w:rsidRDefault="00315077" w:rsidP="008E0CD3">
      <w:pPr>
        <w:snapToGrid w:val="0"/>
        <w:ind w:firstLine="720"/>
        <w:rPr>
          <w:rFonts w:eastAsia="SimSun"/>
        </w:rPr>
      </w:pPr>
    </w:p>
    <w:p w14:paraId="091E72D1" w14:textId="639DC714" w:rsidR="00315077" w:rsidRPr="00315077" w:rsidRDefault="00315077" w:rsidP="00315077">
      <w:pPr>
        <w:jc w:val="center"/>
        <w:rPr>
          <w:b/>
          <w:bCs/>
          <w:sz w:val="23"/>
          <w:szCs w:val="23"/>
        </w:rPr>
      </w:pPr>
      <w:r w:rsidRPr="00315077">
        <w:rPr>
          <w:b/>
          <w:bCs/>
        </w:rPr>
        <w:lastRenderedPageBreak/>
        <w:t xml:space="preserve">Figure 5: </w:t>
      </w:r>
      <w:r w:rsidRPr="00315077">
        <w:rPr>
          <w:b/>
          <w:bCs/>
          <w:sz w:val="23"/>
          <w:szCs w:val="23"/>
        </w:rPr>
        <w:t>Marginal Effects of Key Independent Variables on Probability of Exit and Political Mobility, Three Level Models with 90% and 95% Confidence Intervals</w:t>
      </w:r>
    </w:p>
    <w:p w14:paraId="702776F7" w14:textId="77777777" w:rsidR="00315077" w:rsidRPr="00236267" w:rsidRDefault="00315077" w:rsidP="00315077">
      <w:pPr>
        <w:jc w:val="center"/>
      </w:pPr>
      <w:r w:rsidRPr="00F02B68">
        <w:rPr>
          <w:noProof/>
        </w:rPr>
        <w:drawing>
          <wp:inline distT="0" distB="0" distL="0" distR="0" wp14:anchorId="24AAD6C7" wp14:editId="48FE64F6">
            <wp:extent cx="3143250" cy="2286916"/>
            <wp:effectExtent l="0" t="0" r="0" b="0"/>
            <wp:docPr id="11" name="Picture 1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ox and whisker char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75713" cy="2310535"/>
                    </a:xfrm>
                    <a:prstGeom prst="rect">
                      <a:avLst/>
                    </a:prstGeom>
                    <a:noFill/>
                    <a:ln>
                      <a:noFill/>
                    </a:ln>
                  </pic:spPr>
                </pic:pic>
              </a:graphicData>
            </a:graphic>
          </wp:inline>
        </w:drawing>
      </w:r>
      <w:r w:rsidRPr="00F02B68">
        <w:rPr>
          <w:noProof/>
        </w:rPr>
        <w:drawing>
          <wp:inline distT="0" distB="0" distL="0" distR="0" wp14:anchorId="627414F2" wp14:editId="1A54711E">
            <wp:extent cx="2809875" cy="2044364"/>
            <wp:effectExtent l="0" t="0" r="0" b="0"/>
            <wp:docPr id="10"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36178" cy="2063501"/>
                    </a:xfrm>
                    <a:prstGeom prst="rect">
                      <a:avLst/>
                    </a:prstGeom>
                    <a:noFill/>
                    <a:ln>
                      <a:noFill/>
                    </a:ln>
                  </pic:spPr>
                </pic:pic>
              </a:graphicData>
            </a:graphic>
          </wp:inline>
        </w:drawing>
      </w:r>
      <w:r w:rsidRPr="00F02B68">
        <w:rPr>
          <w:noProof/>
        </w:rPr>
        <w:drawing>
          <wp:inline distT="0" distB="0" distL="0" distR="0" wp14:anchorId="34844046" wp14:editId="50A295FF">
            <wp:extent cx="3429000" cy="2494818"/>
            <wp:effectExtent l="0" t="0" r="0" b="1270"/>
            <wp:docPr id="9" name="Picture 9"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ox and whisker char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85492" cy="2535920"/>
                    </a:xfrm>
                    <a:prstGeom prst="rect">
                      <a:avLst/>
                    </a:prstGeom>
                    <a:noFill/>
                    <a:ln>
                      <a:noFill/>
                    </a:ln>
                  </pic:spPr>
                </pic:pic>
              </a:graphicData>
            </a:graphic>
          </wp:inline>
        </w:drawing>
      </w:r>
    </w:p>
    <w:p w14:paraId="350BE707" w14:textId="77777777" w:rsidR="00315077" w:rsidRPr="00236267" w:rsidRDefault="00315077" w:rsidP="00315077">
      <w:pPr>
        <w:jc w:val="center"/>
        <w:rPr>
          <w:sz w:val="20"/>
          <w:szCs w:val="20"/>
        </w:rPr>
      </w:pPr>
      <w:r w:rsidRPr="00236267">
        <w:rPr>
          <w:sz w:val="20"/>
          <w:szCs w:val="20"/>
        </w:rPr>
        <w:t>Staying in the state-owned economy estimated as the baseline option. Marginal effects predicted from the multinomial logit model. Full results available in appendix table A6.</w:t>
      </w:r>
    </w:p>
    <w:p w14:paraId="0E26FF57" w14:textId="086125F1" w:rsidR="00315077" w:rsidRDefault="00315077" w:rsidP="008E0CD3">
      <w:pPr>
        <w:snapToGrid w:val="0"/>
        <w:ind w:firstLine="720"/>
        <w:rPr>
          <w:rFonts w:eastAsia="SimSun"/>
        </w:rPr>
      </w:pPr>
    </w:p>
    <w:p w14:paraId="11F93AE9" w14:textId="2155C481" w:rsidR="00315077" w:rsidRDefault="00315077" w:rsidP="008E0CD3">
      <w:pPr>
        <w:snapToGrid w:val="0"/>
        <w:ind w:firstLine="720"/>
        <w:rPr>
          <w:rFonts w:eastAsia="SimSun"/>
        </w:rPr>
      </w:pPr>
    </w:p>
    <w:p w14:paraId="726043C1" w14:textId="72143A79" w:rsidR="00315077" w:rsidRDefault="00315077" w:rsidP="008E0CD3">
      <w:pPr>
        <w:snapToGrid w:val="0"/>
        <w:ind w:firstLine="720"/>
        <w:rPr>
          <w:rFonts w:eastAsia="SimSun"/>
        </w:rPr>
      </w:pPr>
    </w:p>
    <w:p w14:paraId="5866139B" w14:textId="77777777" w:rsidR="00315077" w:rsidRPr="00635C27" w:rsidRDefault="00315077" w:rsidP="008E0CD3">
      <w:pPr>
        <w:snapToGrid w:val="0"/>
        <w:ind w:firstLine="720"/>
        <w:rPr>
          <w:rFonts w:eastAsia="SimSun"/>
        </w:rPr>
      </w:pPr>
    </w:p>
    <w:p w14:paraId="62A884F3" w14:textId="77777777" w:rsidR="008E0CD3" w:rsidRPr="00635C27" w:rsidRDefault="008E0CD3" w:rsidP="008E0CD3">
      <w:pPr>
        <w:snapToGrid w:val="0"/>
        <w:ind w:firstLine="720"/>
      </w:pPr>
      <w:r w:rsidRPr="00635C27">
        <w:rPr>
          <w:rFonts w:eastAsia="SimSun"/>
        </w:rPr>
        <w:lastRenderedPageBreak/>
        <w:t xml:space="preserve">In the three-level models, leadership years decrease the likelihood of staying in one’s executive position and increase the probability of moving to a government position. As in the power continuation models, however, this effect is small and disappears at longer durations of tenure (Figure A1). Previous experience in local government has a positive and significant impact on mobility into government positions. Having previously served in local government increases the probability of transferring to a government position, either at the local or central levels, by about five percent. These results suggest that one pattern in the personnel management of core central SOE leaders is from local government to central SOEs and finally back to government, whereas another pattern is simply staying within the state-owned economy for one’s entire career.   </w:t>
      </w:r>
    </w:p>
    <w:p w14:paraId="76014527" w14:textId="77777777" w:rsidR="008E0CD3" w:rsidRPr="00096D2F" w:rsidRDefault="008E0CD3" w:rsidP="008E0CD3">
      <w:pPr>
        <w:snapToGrid w:val="0"/>
        <w:ind w:firstLine="720"/>
        <w:rPr>
          <w:rFonts w:eastAsia="SimSun"/>
        </w:rPr>
      </w:pPr>
      <w:r w:rsidRPr="00635C27">
        <w:rPr>
          <w:rFonts w:eastAsia="SimSun"/>
        </w:rPr>
        <w:t>The three-level models also show positive correlations between political connectedness and staying in one’s position, similar to the power continuation findings (Table 2). Connections with the COD director and the central administration reduce exit by approximately three percent and increase the probability of staying in the state-owned economy by approximately four percent. The importance of connectedness with the COD director is further evidenced when controlling for other connections. When controlling for connections with SASAC directors as a robustness check, the COD connectedness measure remains statistically significant, with COD connectedness increasing the probability of staying in the state-owned sector compared to the other two outcomes by six percent (p=0.000).</w:t>
      </w:r>
      <w:r w:rsidRPr="00011196">
        <w:rPr>
          <w:rStyle w:val="FootnoteReference"/>
          <w:rFonts w:eastAsia="SimSun"/>
        </w:rPr>
        <w:footnoteReference w:id="67"/>
      </w:r>
      <w:r w:rsidRPr="00011196">
        <w:rPr>
          <w:rFonts w:eastAsia="SimSun"/>
        </w:rPr>
        <w:t xml:space="preserve"> Political connectedness increases the probability of staying in one’s position, but not moving into government. While some might expect politically oriented regimes to have high levels of SOE leader interchange between the state and the economy, these results suggest that in China </w:t>
      </w:r>
      <w:r w:rsidRPr="00096D2F">
        <w:rPr>
          <w:rFonts w:eastAsia="SimSun"/>
        </w:rPr>
        <w:t>politically connected individuals are more likely to remain in the economy.</w:t>
      </w:r>
    </w:p>
    <w:p w14:paraId="29C6D212" w14:textId="77777777" w:rsidR="008E0CD3" w:rsidRPr="00096D2F" w:rsidRDefault="008E0CD3" w:rsidP="008E0CD3">
      <w:pPr>
        <w:ind w:firstLine="720"/>
      </w:pPr>
      <w:r w:rsidRPr="00096D2F">
        <w:t xml:space="preserve">Similar to the political connectedness models, the number of patron connections also matters for maintaining one’s position in the three-level model. In particular, the more connections one has, the less likely one is to exit, with a marginal effect of 0.02 (p&lt;0.033), and the more likely one is to stay in the state-owned sector. Beyond the bivariate models, these results highlight that leaders with patron connections stay in the state-owned economy rather than being pulled </w:t>
      </w:r>
      <w:proofErr w:type="gramStart"/>
      <w:r w:rsidRPr="00096D2F">
        <w:t>in to</w:t>
      </w:r>
      <w:proofErr w:type="gramEnd"/>
      <w:r w:rsidRPr="00096D2F">
        <w:t xml:space="preserve"> government. From the patron’s perspective, this suggests a strategy of oversight administration regimes keeping a broad base of potential allies across multiple sectors, rather than pooling them into the government bureaucracy, similar to the findings of Keller (2016).</w:t>
      </w:r>
    </w:p>
    <w:p w14:paraId="4B75BB67" w14:textId="77777777" w:rsidR="008E0CD3" w:rsidRPr="00096D2F" w:rsidRDefault="008E0CD3" w:rsidP="008E0CD3">
      <w:pPr>
        <w:ind w:firstLine="720"/>
      </w:pPr>
    </w:p>
    <w:p w14:paraId="7EA34777" w14:textId="77777777" w:rsidR="008E0CD3" w:rsidRPr="00096D2F" w:rsidRDefault="008E0CD3" w:rsidP="008E0CD3">
      <w:pPr>
        <w:rPr>
          <w:i/>
          <w:iCs/>
        </w:rPr>
      </w:pPr>
      <w:r w:rsidRPr="00096D2F">
        <w:rPr>
          <w:i/>
          <w:iCs/>
        </w:rPr>
        <w:t>Robustness Checks</w:t>
      </w:r>
    </w:p>
    <w:p w14:paraId="58F99365" w14:textId="77777777" w:rsidR="008E0CD3" w:rsidRDefault="008E0CD3" w:rsidP="008E0CD3">
      <w:pPr>
        <w:ind w:firstLine="720"/>
      </w:pPr>
      <w:r w:rsidRPr="00096D2F">
        <w:t xml:space="preserve">For our main models, all three types of leaders—general manager, </w:t>
      </w:r>
      <w:r>
        <w:t>P</w:t>
      </w:r>
      <w:r w:rsidRPr="00096D2F">
        <w:t xml:space="preserve">arty secretary, and chairman—are treated as equal. As a robustness check, we also evaluate the potential for position effects. All models were run with indicators for the three different positions. Chairmen were more likely to continue </w:t>
      </w:r>
      <w:r>
        <w:t>their</w:t>
      </w:r>
      <w:r w:rsidRPr="00096D2F">
        <w:t xml:space="preserve"> executive leadership in the logit model (marginal effect 0.05 p=0.081) and less likely to exit in the multinomial model (marginal effect 0.05 p=0.02). This correlation is likely the result of time-relative patterns: at the beginning of the panel, most firms did not have a board of directors and therefore lacked a chairman position. The growing proportion of firms with boards and consequently chairmen over the course of the panel means a natural bias towards power continuation because our data are censored. Concurrent positions, </w:t>
      </w:r>
      <w:r w:rsidRPr="00096D2F">
        <w:lastRenderedPageBreak/>
        <w:t xml:space="preserve">holding more than one position at a time, increases power continuation (marginal effect 0.04 p=0.066) and decreases the likelihood of exit (marginal effect -0.03 p=0.048) and moving to government (marginal effect -0.04 p=0.017). </w:t>
      </w:r>
    </w:p>
    <w:p w14:paraId="79986A92" w14:textId="77777777" w:rsidR="008E0CD3" w:rsidRPr="00096D2F" w:rsidRDefault="008E0CD3" w:rsidP="008E0CD3">
      <w:pPr>
        <w:ind w:firstLine="720"/>
      </w:pPr>
      <w:r>
        <w:t xml:space="preserve">It is also possible that there are interaction effects between political connectedness and economic performance. Theoretically, a politically connected leader could be rewarded more for economic performance, or an unconnected leader could be rewarded less. We test this potential interaction dynamic and find no statistically significant interaction in any model. </w:t>
      </w:r>
    </w:p>
    <w:p w14:paraId="673D5DEB" w14:textId="77777777" w:rsidR="008E0CD3" w:rsidRPr="00096D2F" w:rsidRDefault="008E0CD3" w:rsidP="008E0CD3">
      <w:pPr>
        <w:ind w:firstLine="720"/>
      </w:pPr>
      <w:r w:rsidRPr="00096D2F">
        <w:t>The results presented above are robust to alternative measures and modeling forms. We included alternative measures of firm performance and test for a series of non-linear relationships with performance and interactions between performance and age. Our results remain the same. See the Appendix for a description of robustness checks.</w:t>
      </w:r>
    </w:p>
    <w:p w14:paraId="3848FC61" w14:textId="77777777" w:rsidR="008E0CD3" w:rsidRPr="00096D2F" w:rsidRDefault="008E0CD3" w:rsidP="008E0CD3">
      <w:pPr>
        <w:ind w:firstLine="720"/>
      </w:pPr>
    </w:p>
    <w:p w14:paraId="6306E051" w14:textId="77777777" w:rsidR="008E0CD3" w:rsidRPr="00096D2F" w:rsidRDefault="008E0CD3" w:rsidP="008E0CD3">
      <w:pPr>
        <w:rPr>
          <w:b/>
          <w:u w:val="single"/>
        </w:rPr>
      </w:pPr>
      <w:r w:rsidRPr="00096D2F">
        <w:rPr>
          <w:b/>
          <w:u w:val="single"/>
        </w:rPr>
        <w:t>Conclusion</w:t>
      </w:r>
    </w:p>
    <w:p w14:paraId="19D85D6B" w14:textId="77777777" w:rsidR="008E0CD3" w:rsidRPr="00096D2F" w:rsidRDefault="008E0CD3" w:rsidP="008E0CD3">
      <w:pPr>
        <w:ind w:firstLine="720"/>
        <w:rPr>
          <w:rFonts w:eastAsia="SimSun"/>
        </w:rPr>
      </w:pPr>
      <w:r w:rsidRPr="00096D2F">
        <w:t xml:space="preserve">As the state’s presence remains strong in economies worldwide, many governments use executive appointments to govern their SOEs. In this paper, </w:t>
      </w:r>
      <w:r w:rsidRPr="00096D2F">
        <w:rPr>
          <w:rFonts w:eastAsia="SimSun"/>
        </w:rPr>
        <w:t xml:space="preserve">we </w:t>
      </w:r>
      <w:r>
        <w:rPr>
          <w:rFonts w:eastAsia="SimSun"/>
        </w:rPr>
        <w:t>posit</w:t>
      </w:r>
      <w:r w:rsidRPr="00096D2F">
        <w:rPr>
          <w:rFonts w:eastAsia="SimSun"/>
        </w:rPr>
        <w:t xml:space="preserve"> that systems of SOE executive appointments vary on a spectrum from market-oriented to political-oriented. </w:t>
      </w:r>
      <w:r>
        <w:rPr>
          <w:rFonts w:eastAsia="SimSun"/>
        </w:rPr>
        <w:t xml:space="preserve">Situating these systems relative to one another </w:t>
      </w:r>
      <w:r w:rsidRPr="00096D2F">
        <w:rPr>
          <w:rFonts w:eastAsia="SimSun"/>
        </w:rPr>
        <w:t>is an essential first step toward integrating the rich but fragmented country-based literature on SOE governance. Next, we investigate empirically how China—</w:t>
      </w:r>
      <w:r w:rsidRPr="00096D2F">
        <w:t>a substantively important case of high integration with the state apparatus and ruling elites</w:t>
      </w:r>
      <w:r w:rsidRPr="00096D2F">
        <w:rPr>
          <w:rFonts w:eastAsia="SimSun"/>
        </w:rPr>
        <w:t xml:space="preserve">—governs its SOEs, by conducting the first systematic analysis of political mobility for the leaders of the largest and most strategically important Chinese state firms. We find that better economic performance decreases the probability of a core central SOE leader exiting his executive role and increases the likelihood of transfer to another core central SOE. We also find that core central SOE leaders are more likely to stay in position if they possess informal connections to the political elites in charge of their evaluation, while those with previous local-level political experience are more likely to move into government. </w:t>
      </w:r>
    </w:p>
    <w:p w14:paraId="1C848B1E" w14:textId="77777777" w:rsidR="008E0CD3" w:rsidRDefault="008E0CD3" w:rsidP="008E0CD3">
      <w:pPr>
        <w:ind w:firstLine="720"/>
        <w:rPr>
          <w:rFonts w:eastAsia="SimSun"/>
          <w:spacing w:val="3"/>
          <w:shd w:val="clear" w:color="auto" w:fill="FFFFFF"/>
        </w:rPr>
      </w:pPr>
      <w:r>
        <w:rPr>
          <w:rFonts w:eastAsia="SimSun"/>
          <w:spacing w:val="3"/>
          <w:shd w:val="clear" w:color="auto" w:fill="FFFFFF"/>
        </w:rPr>
        <w:t>I</w:t>
      </w:r>
      <w:r w:rsidRPr="00096D2F">
        <w:rPr>
          <w:rFonts w:eastAsia="SimSun"/>
          <w:spacing w:val="3"/>
          <w:shd w:val="clear" w:color="auto" w:fill="FFFFFF"/>
        </w:rPr>
        <w:t>mportant area</w:t>
      </w:r>
      <w:r>
        <w:rPr>
          <w:rFonts w:eastAsia="SimSun"/>
          <w:spacing w:val="3"/>
          <w:shd w:val="clear" w:color="auto" w:fill="FFFFFF"/>
        </w:rPr>
        <w:t>s</w:t>
      </w:r>
      <w:r w:rsidRPr="00096D2F">
        <w:rPr>
          <w:rFonts w:eastAsia="SimSun"/>
          <w:spacing w:val="3"/>
          <w:shd w:val="clear" w:color="auto" w:fill="FFFFFF"/>
        </w:rPr>
        <w:t xml:space="preserve"> for future research i</w:t>
      </w:r>
      <w:r>
        <w:rPr>
          <w:rFonts w:eastAsia="SimSun"/>
          <w:spacing w:val="3"/>
          <w:shd w:val="clear" w:color="auto" w:fill="FFFFFF"/>
        </w:rPr>
        <w:t>nclude</w:t>
      </w:r>
      <w:r w:rsidRPr="00096D2F">
        <w:rPr>
          <w:rFonts w:eastAsia="SimSun"/>
          <w:spacing w:val="3"/>
          <w:shd w:val="clear" w:color="auto" w:fill="FFFFFF"/>
        </w:rPr>
        <w:t xml:space="preserve"> exploring alternative measures of political connections</w:t>
      </w:r>
      <w:r>
        <w:rPr>
          <w:rFonts w:eastAsia="SimSun"/>
          <w:spacing w:val="3"/>
          <w:shd w:val="clear" w:color="auto" w:fill="FFFFFF"/>
        </w:rPr>
        <w:t xml:space="preserve"> and the determinants of core central SOE leaders’ initial appointments to executive leadership positions</w:t>
      </w:r>
      <w:r w:rsidRPr="00096D2F">
        <w:rPr>
          <w:rFonts w:eastAsia="SimSun"/>
          <w:spacing w:val="3"/>
          <w:shd w:val="clear" w:color="auto" w:fill="FFFFFF"/>
        </w:rPr>
        <w:t xml:space="preserve">. One limitation of this analysis is that we do not include connections to Politburo members individually, but aggregate this to central </w:t>
      </w:r>
      <w:r>
        <w:rPr>
          <w:rFonts w:eastAsia="SimSun"/>
          <w:spacing w:val="3"/>
          <w:shd w:val="clear" w:color="auto" w:fill="FFFFFF"/>
        </w:rPr>
        <w:t>P</w:t>
      </w:r>
      <w:r w:rsidRPr="00096D2F">
        <w:rPr>
          <w:rFonts w:eastAsia="SimSun"/>
          <w:spacing w:val="3"/>
          <w:shd w:val="clear" w:color="auto" w:fill="FFFFFF"/>
        </w:rPr>
        <w:t xml:space="preserve">arty relations generally. We believe the current measure of connections best captures the potential for positive work evaluation—the mechanism behind the </w:t>
      </w:r>
      <w:proofErr w:type="gramStart"/>
      <w:r w:rsidRPr="00096D2F">
        <w:rPr>
          <w:rFonts w:eastAsia="SimSun"/>
          <w:spacing w:val="3"/>
          <w:shd w:val="clear" w:color="auto" w:fill="FFFFFF"/>
        </w:rPr>
        <w:t>connections</w:t>
      </w:r>
      <w:proofErr w:type="gramEnd"/>
      <w:r w:rsidRPr="00096D2F">
        <w:rPr>
          <w:rFonts w:eastAsia="SimSun"/>
          <w:spacing w:val="3"/>
          <w:shd w:val="clear" w:color="auto" w:fill="FFFFFF"/>
        </w:rPr>
        <w:t xml:space="preserve"> hypothesis—when compared to alternative measures. A co-working measure would allow future researchers to create a broader measure of connections among central</w:t>
      </w:r>
      <w:r>
        <w:rPr>
          <w:rFonts w:eastAsia="SimSun"/>
          <w:spacing w:val="3"/>
          <w:shd w:val="clear" w:color="auto" w:fill="FFFFFF"/>
        </w:rPr>
        <w:t>-level</w:t>
      </w:r>
      <w:r w:rsidRPr="00096D2F">
        <w:rPr>
          <w:rFonts w:eastAsia="SimSun"/>
          <w:spacing w:val="3"/>
          <w:shd w:val="clear" w:color="auto" w:fill="FFFFFF"/>
        </w:rPr>
        <w:t xml:space="preserve"> Party members, but at this time there is insufficient data and high potential </w:t>
      </w:r>
      <w:r>
        <w:rPr>
          <w:rFonts w:eastAsia="SimSun"/>
          <w:spacing w:val="3"/>
          <w:shd w:val="clear" w:color="auto" w:fill="FFFFFF"/>
        </w:rPr>
        <w:t>for</w:t>
      </w:r>
      <w:r w:rsidRPr="00096D2F">
        <w:rPr>
          <w:rFonts w:eastAsia="SimSun"/>
          <w:spacing w:val="3"/>
          <w:shd w:val="clear" w:color="auto" w:fill="FFFFFF"/>
        </w:rPr>
        <w:t xml:space="preserve"> measurement error </w:t>
      </w:r>
      <w:r>
        <w:rPr>
          <w:rFonts w:eastAsia="SimSun"/>
          <w:spacing w:val="3"/>
          <w:shd w:val="clear" w:color="auto" w:fill="FFFFFF"/>
        </w:rPr>
        <w:t>in</w:t>
      </w:r>
      <w:r w:rsidRPr="00096D2F">
        <w:rPr>
          <w:rFonts w:eastAsia="SimSun"/>
          <w:spacing w:val="3"/>
          <w:shd w:val="clear" w:color="auto" w:fill="FFFFFF"/>
        </w:rPr>
        <w:t xml:space="preserve"> compar</w:t>
      </w:r>
      <w:r>
        <w:rPr>
          <w:rFonts w:eastAsia="SimSun"/>
          <w:spacing w:val="3"/>
          <w:shd w:val="clear" w:color="auto" w:fill="FFFFFF"/>
        </w:rPr>
        <w:t>ing</w:t>
      </w:r>
      <w:r w:rsidRPr="00096D2F">
        <w:rPr>
          <w:rFonts w:eastAsia="SimSun"/>
          <w:spacing w:val="3"/>
          <w:shd w:val="clear" w:color="auto" w:fill="FFFFFF"/>
        </w:rPr>
        <w:t xml:space="preserve"> the two measurements. Future research, with sufficient data on </w:t>
      </w:r>
      <w:r>
        <w:rPr>
          <w:rFonts w:eastAsia="SimSun"/>
          <w:spacing w:val="3"/>
          <w:shd w:val="clear" w:color="auto" w:fill="FFFFFF"/>
        </w:rPr>
        <w:t xml:space="preserve">core central </w:t>
      </w:r>
      <w:r w:rsidRPr="00096D2F">
        <w:rPr>
          <w:rFonts w:eastAsia="SimSun"/>
          <w:spacing w:val="3"/>
          <w:shd w:val="clear" w:color="auto" w:fill="FFFFFF"/>
        </w:rPr>
        <w:t>SOE leaders’ work experience before their leadership position, would diversify and broaden our understanding of how political connections relate to mobility.</w:t>
      </w:r>
      <w:r>
        <w:rPr>
          <w:rFonts w:eastAsia="SimSun"/>
          <w:spacing w:val="3"/>
          <w:shd w:val="clear" w:color="auto" w:fill="FFFFFF"/>
        </w:rPr>
        <w:t xml:space="preserve"> This in turn would enable more fine-grained assessment of SOE leader appointment as an independent treatment on the firm, and the potential for </w:t>
      </w:r>
      <w:r w:rsidRPr="00314669">
        <w:rPr>
          <w:rFonts w:eastAsia="SimSun"/>
          <w:spacing w:val="3"/>
          <w:shd w:val="clear" w:color="auto" w:fill="FFFFFF"/>
        </w:rPr>
        <w:t xml:space="preserve">political connections </w:t>
      </w:r>
      <w:r>
        <w:rPr>
          <w:rFonts w:eastAsia="SimSun"/>
          <w:spacing w:val="3"/>
          <w:shd w:val="clear" w:color="auto" w:fill="FFFFFF"/>
        </w:rPr>
        <w:t xml:space="preserve">to </w:t>
      </w:r>
      <w:r w:rsidRPr="00314669">
        <w:rPr>
          <w:rFonts w:eastAsia="SimSun"/>
          <w:spacing w:val="3"/>
          <w:shd w:val="clear" w:color="auto" w:fill="FFFFFF"/>
        </w:rPr>
        <w:t>drive the allocation of connected leaders to those SOEs</w:t>
      </w:r>
      <w:r>
        <w:rPr>
          <w:rFonts w:eastAsia="SimSun"/>
          <w:spacing w:val="3"/>
          <w:shd w:val="clear" w:color="auto" w:fill="FFFFFF"/>
        </w:rPr>
        <w:t xml:space="preserve"> </w:t>
      </w:r>
      <w:r w:rsidRPr="00314669">
        <w:rPr>
          <w:rFonts w:eastAsia="SimSun"/>
          <w:spacing w:val="3"/>
          <w:shd w:val="clear" w:color="auto" w:fill="FFFFFF"/>
        </w:rPr>
        <w:t>likely to achieve better economic performance, independent of the effects of the executives themselves</w:t>
      </w:r>
      <w:r>
        <w:rPr>
          <w:rFonts w:eastAsia="SimSun"/>
          <w:spacing w:val="3"/>
          <w:shd w:val="clear" w:color="auto" w:fill="FFFFFF"/>
        </w:rPr>
        <w:t>.</w:t>
      </w:r>
      <w:r>
        <w:rPr>
          <w:rStyle w:val="FootnoteReference"/>
          <w:rFonts w:eastAsia="SimSun"/>
          <w:spacing w:val="3"/>
          <w:shd w:val="clear" w:color="auto" w:fill="FFFFFF"/>
        </w:rPr>
        <w:footnoteReference w:id="68"/>
      </w:r>
      <w:r>
        <w:rPr>
          <w:rFonts w:eastAsia="SimSun"/>
          <w:spacing w:val="3"/>
          <w:shd w:val="clear" w:color="auto" w:fill="FFFFFF"/>
        </w:rPr>
        <w:t xml:space="preserve"> Finally, additional cross-national research could evaluate the relative effects of </w:t>
      </w:r>
      <w:r>
        <w:rPr>
          <w:rFonts w:eastAsia="SimSun"/>
          <w:spacing w:val="3"/>
          <w:shd w:val="clear" w:color="auto" w:fill="FFFFFF"/>
        </w:rPr>
        <w:lastRenderedPageBreak/>
        <w:t xml:space="preserve">political versus economic appointments in contexts with a mix of political- and market-oriented personnel management systems. </w:t>
      </w:r>
    </w:p>
    <w:p w14:paraId="23D9CF0C" w14:textId="77777777" w:rsidR="008E0CD3" w:rsidRPr="00F02B68" w:rsidRDefault="008E0CD3" w:rsidP="008E0CD3">
      <w:pPr>
        <w:ind w:firstLine="720"/>
      </w:pPr>
      <w:r w:rsidRPr="00096D2F">
        <w:t xml:space="preserve">Overall, our findings suggest that in contexts where SOEs are highly politically integrated, governments </w:t>
      </w:r>
      <w:r>
        <w:t xml:space="preserve">can </w:t>
      </w:r>
      <w:r w:rsidRPr="00096D2F">
        <w:t xml:space="preserve">use personnel power as an instrument </w:t>
      </w:r>
      <w:r>
        <w:t>to pursue</w:t>
      </w:r>
      <w:r w:rsidRPr="00F02B68">
        <w:t xml:space="preserve"> economic and political stability. In China, such stability is a top priority for the Party state and the officials whose careers it determines via the cadre management system. Expectations for SOE leaders to deliver on stability are evident in both executive evaluation and official discourse. In the Chinese context, we find that the Party state exercises personnel power to support its stability aims by deliberately keeping well-performing SOE leaders in the state-owned economy, retaining individuals who are connected with the leadership of supervising government and </w:t>
      </w:r>
      <w:r>
        <w:t>P</w:t>
      </w:r>
      <w:r w:rsidRPr="00F02B68">
        <w:t xml:space="preserve">arty bodies, and rewarding those who accumulate government and </w:t>
      </w:r>
      <w:r>
        <w:t>P</w:t>
      </w:r>
      <w:r w:rsidRPr="00F02B68">
        <w:t xml:space="preserve">arty training with transfers to government jobs with the potential for rank-based promotion. In contrast, in countries where SOEs are less integrated with the state apparatus and ruling elites, governments lack such personnel power and the leaders of SOEs are not easily used as tools. Instead, governments in such contexts may rely more heavily on other, more well-known methods—such as regulations, information reporting, and audits—to govern SOEs. By situating our findings about </w:t>
      </w:r>
      <w:r>
        <w:t xml:space="preserve">the </w:t>
      </w:r>
      <w:r w:rsidRPr="00F02B68">
        <w:t>Chin</w:t>
      </w:r>
      <w:r>
        <w:t>ese case comparatively</w:t>
      </w:r>
      <w:r w:rsidRPr="00F02B68">
        <w:t>, we point the way forward for additional empirical analysis of SOE executive appointment systems in other countries.</w:t>
      </w:r>
    </w:p>
    <w:p w14:paraId="31DDB25E" w14:textId="2667A902" w:rsidR="008E0CD3" w:rsidRDefault="008E0CD3" w:rsidP="00315077">
      <w:pPr>
        <w:pStyle w:val="NormalWeb"/>
        <w:spacing w:before="0" w:beforeAutospacing="0" w:after="0" w:afterAutospacing="0"/>
      </w:pPr>
      <w:r w:rsidRPr="00F02B68">
        <w:tab/>
        <w:t>Studying how governments use executive appointments to govern SOEs is more important than ever</w:t>
      </w:r>
      <w:r>
        <w:t xml:space="preserve"> because</w:t>
      </w:r>
      <w:r w:rsidRPr="00F02B68">
        <w:t xml:space="preserve"> these firms </w:t>
      </w:r>
      <w:r>
        <w:t>are increasingly active</w:t>
      </w:r>
      <w:r w:rsidRPr="00F02B68">
        <w:t xml:space="preserve"> beyond national borders. While SOEs in natural resource industries like oil, gas, and mining have operated worldwide for decades, those in technology-based sectors like automobiles, electricity, nuclear power, transportation, and telecommunications have only recently entered international markets.</w:t>
      </w:r>
      <w:r w:rsidRPr="00F02B68">
        <w:rPr>
          <w:rStyle w:val="FootnoteReference"/>
        </w:rPr>
        <w:footnoteReference w:id="69"/>
      </w:r>
      <w:r w:rsidRPr="00F02B68">
        <w:t xml:space="preserve"> Moreover, SOEs in which the government is a majority shareholder and </w:t>
      </w:r>
      <w:r>
        <w:t>over</w:t>
      </w:r>
      <w:r w:rsidRPr="00F02B68">
        <w:t xml:space="preserve"> half of total assets are located overseas hail from both advanced capitalist and emerging economies, including firms such as </w:t>
      </w:r>
      <w:proofErr w:type="spellStart"/>
      <w:r w:rsidRPr="00F02B68">
        <w:t>Électricite</w:t>
      </w:r>
      <w:proofErr w:type="spellEnd"/>
      <w:r w:rsidRPr="00F02B68">
        <w:t>́ de France, Singapore Telecommunications Ltd., and China Ocean Shipping Company.</w:t>
      </w:r>
      <w:r w:rsidRPr="00F02B68">
        <w:rPr>
          <w:rStyle w:val="FootnoteReference"/>
        </w:rPr>
        <w:footnoteReference w:id="70"/>
      </w:r>
      <w:r w:rsidRPr="00F02B68">
        <w:t xml:space="preserve"> In addition to existing scholarship on SOE adaptation to host country institutions and regulations, studying governments’ personnel power over top executives is also essential to understand how globalizing SOEs behave overseas.</w:t>
      </w:r>
      <w:r w:rsidRPr="00F02B68">
        <w:rPr>
          <w:rStyle w:val="FootnoteReference"/>
        </w:rPr>
        <w:footnoteReference w:id="71"/>
      </w:r>
      <w:r w:rsidRPr="00F02B68">
        <w:t xml:space="preserve"> </w:t>
      </w:r>
      <w:r w:rsidRPr="00F02B68">
        <w:tab/>
      </w:r>
    </w:p>
    <w:p w14:paraId="71CB79E1" w14:textId="77777777" w:rsidR="00315077" w:rsidRPr="00315077" w:rsidRDefault="00315077" w:rsidP="00315077">
      <w:pPr>
        <w:pStyle w:val="NormalWeb"/>
        <w:spacing w:before="0" w:beforeAutospacing="0" w:after="0" w:afterAutospacing="0"/>
        <w:rPr>
          <w:rFonts w:eastAsia="SimSun"/>
        </w:rPr>
      </w:pPr>
    </w:p>
    <w:p w14:paraId="3128A690" w14:textId="7F8AABD0" w:rsidR="00315077" w:rsidRDefault="00315077" w:rsidP="00BE2FFE"/>
    <w:p w14:paraId="500A1428" w14:textId="2DB43519" w:rsidR="00315077" w:rsidRDefault="00315077" w:rsidP="00BE2FFE"/>
    <w:p w14:paraId="7565CF81" w14:textId="456BE1A9" w:rsidR="00315077" w:rsidRPr="00315077" w:rsidRDefault="00315077" w:rsidP="00BE2FFE">
      <w:pPr>
        <w:rPr>
          <w:b/>
          <w:bCs/>
        </w:rPr>
      </w:pPr>
      <w:r w:rsidRPr="00315077">
        <w:rPr>
          <w:b/>
          <w:bCs/>
        </w:rPr>
        <w:t>Acknowledgements</w:t>
      </w:r>
    </w:p>
    <w:p w14:paraId="168230E6" w14:textId="6342112F" w:rsidR="00315077" w:rsidRDefault="00315077" w:rsidP="00315077">
      <w:r>
        <w:t>The authors thank Melanie Manion and Li-</w:t>
      </w:r>
      <w:proofErr w:type="gramStart"/>
      <w:r>
        <w:t>an</w:t>
      </w:r>
      <w:proofErr w:type="gramEnd"/>
      <w:r>
        <w:t xml:space="preserve"> Zhou for their comments on earlier versions of the paper and Zhan Chen, </w:t>
      </w:r>
      <w:proofErr w:type="spellStart"/>
      <w:r>
        <w:t>Yingtao</w:t>
      </w:r>
      <w:proofErr w:type="spellEnd"/>
      <w:r>
        <w:t xml:space="preserve"> Guo, </w:t>
      </w:r>
      <w:proofErr w:type="spellStart"/>
      <w:r>
        <w:t>Yufan</w:t>
      </w:r>
      <w:proofErr w:type="spellEnd"/>
      <w:r>
        <w:t xml:space="preserve"> Huang, </w:t>
      </w:r>
      <w:proofErr w:type="spellStart"/>
      <w:r>
        <w:t>Xinwen</w:t>
      </w:r>
      <w:proofErr w:type="spellEnd"/>
      <w:r>
        <w:t xml:space="preserve"> </w:t>
      </w:r>
      <w:proofErr w:type="spellStart"/>
      <w:r>
        <w:t>Lv</w:t>
      </w:r>
      <w:proofErr w:type="spellEnd"/>
      <w:r>
        <w:t xml:space="preserve">, </w:t>
      </w:r>
      <w:proofErr w:type="spellStart"/>
      <w:r>
        <w:t>Mingwei</w:t>
      </w:r>
      <w:proofErr w:type="spellEnd"/>
      <w:r>
        <w:t xml:space="preserve"> Xu, and </w:t>
      </w:r>
      <w:proofErr w:type="spellStart"/>
      <w:r>
        <w:t>Jingxin</w:t>
      </w:r>
      <w:proofErr w:type="spellEnd"/>
      <w:r>
        <w:t xml:space="preserve"> Zhou for invaluable research assistance and input. We are also grateful for feedback from participants at the Conference on Political Selection at the National School of Development, Peking University (2018); Harvard-MIT-BU Cambridge Chinese Politics Research Workshop (2018); Harvard Kennedy School Ash Center Asia Fellows Seminar (2018); International Studies Association Annual Meeting (2019); and Indiana University-Chinese Academy of Social Sciences Research Symposium (2019). </w:t>
      </w:r>
    </w:p>
    <w:p w14:paraId="07886472" w14:textId="77777777" w:rsidR="00315077" w:rsidRPr="00BE2FFE" w:rsidRDefault="00315077" w:rsidP="00BE2FFE"/>
    <w:p w14:paraId="22445F0C" w14:textId="77777777" w:rsidR="00315077" w:rsidRDefault="00315077" w:rsidP="008E0CD3">
      <w:pPr>
        <w:snapToGrid w:val="0"/>
      </w:pPr>
      <w:bookmarkStart w:id="1" w:name="_Hlk57454948"/>
      <w:bookmarkEnd w:id="1"/>
    </w:p>
    <w:p w14:paraId="420FCD35" w14:textId="5B3F30EA" w:rsidR="008E0CD3" w:rsidRPr="00236267" w:rsidRDefault="008E0CD3" w:rsidP="008E0CD3">
      <w:pPr>
        <w:snapToGrid w:val="0"/>
        <w:rPr>
          <w:rFonts w:eastAsia="Songti TC"/>
          <w:b/>
        </w:rPr>
      </w:pPr>
      <w:r w:rsidRPr="00236267">
        <w:rPr>
          <w:rFonts w:eastAsia="Songti TC"/>
          <w:b/>
        </w:rPr>
        <w:lastRenderedPageBreak/>
        <w:t>References</w:t>
      </w:r>
    </w:p>
    <w:p w14:paraId="734047D6" w14:textId="77777777" w:rsidR="008E0CD3" w:rsidRPr="00236267" w:rsidRDefault="008E0CD3" w:rsidP="008E0CD3">
      <w:pPr>
        <w:snapToGrid w:val="0"/>
        <w:ind w:left="720" w:hanging="720"/>
        <w:jc w:val="both"/>
        <w:rPr>
          <w:rFonts w:eastAsia="Songti TC"/>
          <w:shd w:val="clear" w:color="auto" w:fill="FFFFFF"/>
        </w:rPr>
      </w:pPr>
      <w:proofErr w:type="spellStart"/>
      <w:r w:rsidRPr="00236267">
        <w:rPr>
          <w:rFonts w:eastAsia="Songti TC"/>
          <w:shd w:val="clear" w:color="auto" w:fill="FFFFFF"/>
        </w:rPr>
        <w:t>Aharoni</w:t>
      </w:r>
      <w:proofErr w:type="spellEnd"/>
      <w:r w:rsidRPr="00236267">
        <w:rPr>
          <w:rFonts w:eastAsia="Songti TC"/>
          <w:shd w:val="clear" w:color="auto" w:fill="FFFFFF"/>
        </w:rPr>
        <w:t>, Yair.1986. </w:t>
      </w:r>
      <w:r w:rsidRPr="00236267">
        <w:rPr>
          <w:rFonts w:eastAsia="Songti TC"/>
          <w:i/>
          <w:iCs/>
          <w:shd w:val="clear" w:color="auto" w:fill="FFFFFF"/>
        </w:rPr>
        <w:t xml:space="preserve">The Evolution and Management of </w:t>
      </w:r>
      <w:proofErr w:type="gramStart"/>
      <w:r w:rsidRPr="00236267">
        <w:rPr>
          <w:rFonts w:eastAsia="Songti TC"/>
          <w:i/>
          <w:iCs/>
          <w:shd w:val="clear" w:color="auto" w:fill="FFFFFF"/>
        </w:rPr>
        <w:t>State Owned</w:t>
      </w:r>
      <w:proofErr w:type="gramEnd"/>
      <w:r w:rsidRPr="00236267">
        <w:rPr>
          <w:rFonts w:eastAsia="Songti TC"/>
          <w:i/>
          <w:iCs/>
          <w:shd w:val="clear" w:color="auto" w:fill="FFFFFF"/>
        </w:rPr>
        <w:t xml:space="preserve"> Enterprises</w:t>
      </w:r>
      <w:r w:rsidRPr="00236267">
        <w:rPr>
          <w:rFonts w:eastAsia="Songti TC"/>
          <w:shd w:val="clear" w:color="auto" w:fill="FFFFFF"/>
        </w:rPr>
        <w:t>. Melrose, MA: Ballinger Publishing Company.</w:t>
      </w:r>
    </w:p>
    <w:p w14:paraId="0410D7EE" w14:textId="77777777" w:rsidR="008E0CD3" w:rsidRPr="00CA3E55" w:rsidRDefault="008E0CD3" w:rsidP="008E0CD3">
      <w:pPr>
        <w:snapToGrid w:val="0"/>
        <w:ind w:left="720" w:hanging="720"/>
        <w:jc w:val="both"/>
        <w:rPr>
          <w:rFonts w:eastAsia="Songti TC"/>
        </w:rPr>
      </w:pPr>
      <w:bookmarkStart w:id="2" w:name="_Hlk9326108"/>
      <w:r w:rsidRPr="00236267">
        <w:rPr>
          <w:rFonts w:eastAsia="Songti TC"/>
        </w:rPr>
        <w:t xml:space="preserve">Bo, </w:t>
      </w:r>
      <w:proofErr w:type="spellStart"/>
      <w:r w:rsidRPr="00236267">
        <w:rPr>
          <w:rFonts w:eastAsia="Songti TC"/>
        </w:rPr>
        <w:t>Zhiyue</w:t>
      </w:r>
      <w:proofErr w:type="spellEnd"/>
      <w:r w:rsidRPr="00236267">
        <w:rPr>
          <w:rFonts w:eastAsia="Songti TC"/>
        </w:rPr>
        <w:t xml:space="preserve">. 2013. “Paths to the Top </w:t>
      </w:r>
      <w:r w:rsidRPr="00CA3E55">
        <w:rPr>
          <w:rFonts w:eastAsia="Songti TC"/>
        </w:rPr>
        <w:t xml:space="preserve">Leadership in China: The Case of Provincial Leaders.” In </w:t>
      </w:r>
      <w:proofErr w:type="spellStart"/>
      <w:r w:rsidRPr="00CA3E55">
        <w:rPr>
          <w:rFonts w:eastAsia="Songti TC"/>
        </w:rPr>
        <w:t>Chien</w:t>
      </w:r>
      <w:proofErr w:type="spellEnd"/>
      <w:r w:rsidRPr="00CA3E55">
        <w:rPr>
          <w:rFonts w:eastAsia="Songti TC"/>
        </w:rPr>
        <w:t xml:space="preserve">-wen Kou and </w:t>
      </w:r>
      <w:proofErr w:type="spellStart"/>
      <w:r w:rsidRPr="00CA3E55">
        <w:rPr>
          <w:rFonts w:eastAsia="Songti TC"/>
        </w:rPr>
        <w:t>Xiaowei</w:t>
      </w:r>
      <w:proofErr w:type="spellEnd"/>
      <w:r w:rsidRPr="00CA3E55">
        <w:rPr>
          <w:rFonts w:eastAsia="Songti TC"/>
        </w:rPr>
        <w:t xml:space="preserve"> Zang, eds., </w:t>
      </w:r>
      <w:r w:rsidRPr="00CA3E55">
        <w:rPr>
          <w:rFonts w:eastAsia="Songti TC"/>
          <w:i/>
        </w:rPr>
        <w:t>Choosing China’s Leaders</w:t>
      </w:r>
      <w:r w:rsidRPr="00CA3E55">
        <w:rPr>
          <w:rFonts w:eastAsia="Songti TC"/>
        </w:rPr>
        <w:t>. London: Routledge, 65-96.</w:t>
      </w:r>
    </w:p>
    <w:bookmarkEnd w:id="2"/>
    <w:p w14:paraId="15386A41" w14:textId="77777777" w:rsidR="008E0CD3" w:rsidRPr="00CA3E55" w:rsidRDefault="008E0CD3" w:rsidP="008E0CD3">
      <w:pPr>
        <w:snapToGrid w:val="0"/>
        <w:ind w:left="720" w:hanging="720"/>
        <w:jc w:val="both"/>
        <w:rPr>
          <w:rFonts w:eastAsia="Songti TC"/>
        </w:rPr>
      </w:pPr>
      <w:proofErr w:type="spellStart"/>
      <w:r w:rsidRPr="00CA3E55">
        <w:rPr>
          <w:rFonts w:eastAsia="Songti TC"/>
        </w:rPr>
        <w:t>Brødsgaard</w:t>
      </w:r>
      <w:proofErr w:type="spellEnd"/>
      <w:r w:rsidRPr="00CA3E55">
        <w:rPr>
          <w:rFonts w:eastAsia="Songti TC"/>
        </w:rPr>
        <w:t xml:space="preserve">, Kjeld Erik. 2012. “Politics and Business Group Formation in China: The Party in Control?” </w:t>
      </w:r>
      <w:r w:rsidRPr="00CA3E55">
        <w:rPr>
          <w:rFonts w:eastAsia="Songti TC"/>
          <w:i/>
        </w:rPr>
        <w:t>The China Quarterly</w:t>
      </w:r>
      <w:r w:rsidRPr="00CA3E55">
        <w:rPr>
          <w:rFonts w:eastAsia="Songti TC"/>
        </w:rPr>
        <w:t xml:space="preserve"> 211: 624–648.</w:t>
      </w:r>
    </w:p>
    <w:p w14:paraId="3050FA35" w14:textId="77777777" w:rsidR="008E0CD3" w:rsidRDefault="008E0CD3" w:rsidP="008E0CD3">
      <w:pPr>
        <w:snapToGrid w:val="0"/>
        <w:ind w:left="720" w:hanging="720"/>
        <w:jc w:val="both"/>
        <w:rPr>
          <w:rFonts w:eastAsia="Songti TC"/>
        </w:rPr>
      </w:pPr>
      <w:bookmarkStart w:id="3" w:name="_Hlk9326237"/>
      <w:proofErr w:type="spellStart"/>
      <w:r w:rsidRPr="00CA3E55">
        <w:rPr>
          <w:rFonts w:eastAsia="Songti TC"/>
        </w:rPr>
        <w:t>Brødsgaard</w:t>
      </w:r>
      <w:proofErr w:type="spellEnd"/>
      <w:r w:rsidRPr="00CA3E55">
        <w:rPr>
          <w:rFonts w:eastAsia="Songti TC"/>
        </w:rPr>
        <w:t xml:space="preserve">, Kjeld Erik, Paul Hubbard, </w:t>
      </w:r>
      <w:proofErr w:type="spellStart"/>
      <w:r w:rsidRPr="00CA3E55">
        <w:rPr>
          <w:rFonts w:eastAsia="Songti TC"/>
        </w:rPr>
        <w:t>Guilong</w:t>
      </w:r>
      <w:proofErr w:type="spellEnd"/>
      <w:r w:rsidRPr="00CA3E55">
        <w:rPr>
          <w:rFonts w:eastAsia="Songti TC"/>
        </w:rPr>
        <w:t xml:space="preserve"> Cai and </w:t>
      </w:r>
      <w:proofErr w:type="spellStart"/>
      <w:r w:rsidRPr="00CA3E55">
        <w:rPr>
          <w:rFonts w:eastAsia="Songti TC"/>
        </w:rPr>
        <w:t>Linlin</w:t>
      </w:r>
      <w:proofErr w:type="spellEnd"/>
      <w:r w:rsidRPr="00CA3E55">
        <w:rPr>
          <w:rFonts w:eastAsia="Songti TC"/>
        </w:rPr>
        <w:t xml:space="preserve"> Zhang. 2017. “China’s SOE Executives: Drivers of or Obstacles to Reform?” </w:t>
      </w:r>
      <w:r w:rsidRPr="00CA3E55">
        <w:rPr>
          <w:rFonts w:eastAsia="Songti TC"/>
          <w:i/>
        </w:rPr>
        <w:t>Copenhagen Journal of Asian Studies</w:t>
      </w:r>
      <w:r w:rsidRPr="00CA3E55">
        <w:rPr>
          <w:rFonts w:eastAsia="Songti TC"/>
        </w:rPr>
        <w:t xml:space="preserve"> 35, no. 1: 52–75.</w:t>
      </w:r>
    </w:p>
    <w:p w14:paraId="2D9B9EBE" w14:textId="77777777" w:rsidR="008E0CD3" w:rsidRDefault="008E0CD3" w:rsidP="008E0CD3">
      <w:pPr>
        <w:pStyle w:val="FootnoteText"/>
        <w:rPr>
          <w:rFonts w:ascii="Times New Roman" w:hAnsi="Times New Roman"/>
          <w:i/>
          <w:sz w:val="24"/>
          <w:szCs w:val="24"/>
        </w:rPr>
      </w:pPr>
      <w:r w:rsidRPr="00AA65A0">
        <w:rPr>
          <w:rFonts w:ascii="Times New Roman" w:hAnsi="Times New Roman"/>
          <w:sz w:val="24"/>
          <w:szCs w:val="24"/>
        </w:rPr>
        <w:t>Central Organization Department (</w:t>
      </w:r>
      <w:r>
        <w:rPr>
          <w:rFonts w:ascii="Times New Roman" w:hAnsi="Times New Roman"/>
          <w:sz w:val="24"/>
          <w:szCs w:val="24"/>
        </w:rPr>
        <w:t xml:space="preserve">COD), </w:t>
      </w:r>
      <w:r w:rsidRPr="00AA65A0">
        <w:rPr>
          <w:rFonts w:ascii="Times New Roman" w:hAnsi="Times New Roman"/>
          <w:sz w:val="24"/>
          <w:szCs w:val="24"/>
        </w:rPr>
        <w:t>Par</w:t>
      </w:r>
      <w:r>
        <w:rPr>
          <w:rFonts w:ascii="Times New Roman" w:hAnsi="Times New Roman"/>
          <w:sz w:val="24"/>
          <w:szCs w:val="24"/>
        </w:rPr>
        <w:t xml:space="preserve">ty-Building Research Institute. 1993. </w:t>
      </w:r>
      <w:proofErr w:type="spellStart"/>
      <w:r>
        <w:rPr>
          <w:rFonts w:ascii="Times New Roman" w:hAnsi="Times New Roman"/>
          <w:i/>
          <w:sz w:val="24"/>
          <w:szCs w:val="24"/>
        </w:rPr>
        <w:t>Dangjian</w:t>
      </w:r>
      <w:proofErr w:type="spellEnd"/>
    </w:p>
    <w:p w14:paraId="4625B08C" w14:textId="77777777" w:rsidR="008E0CD3" w:rsidRDefault="008E0CD3" w:rsidP="008E0CD3">
      <w:pPr>
        <w:pStyle w:val="FootnoteText"/>
        <w:ind w:firstLine="720"/>
        <w:rPr>
          <w:rFonts w:ascii="Times New Roman" w:hAnsi="Times New Roman"/>
          <w:i/>
          <w:sz w:val="24"/>
          <w:szCs w:val="24"/>
        </w:rPr>
      </w:pPr>
      <w:proofErr w:type="spellStart"/>
      <w:r>
        <w:rPr>
          <w:rFonts w:ascii="Times New Roman" w:hAnsi="Times New Roman"/>
          <w:i/>
          <w:sz w:val="24"/>
          <w:szCs w:val="24"/>
        </w:rPr>
        <w:t>yanjiu</w:t>
      </w:r>
      <w:proofErr w:type="spellEnd"/>
      <w:r>
        <w:rPr>
          <w:rFonts w:ascii="Times New Roman" w:hAnsi="Times New Roman"/>
          <w:i/>
          <w:sz w:val="24"/>
          <w:szCs w:val="24"/>
        </w:rPr>
        <w:t xml:space="preserve"> </w:t>
      </w:r>
      <w:proofErr w:type="spellStart"/>
      <w:r>
        <w:rPr>
          <w:rFonts w:ascii="Times New Roman" w:hAnsi="Times New Roman"/>
          <w:i/>
          <w:sz w:val="24"/>
          <w:szCs w:val="24"/>
        </w:rPr>
        <w:t>zongheng</w:t>
      </w:r>
      <w:proofErr w:type="spellEnd"/>
      <w:r>
        <w:rPr>
          <w:rFonts w:ascii="Times New Roman" w:hAnsi="Times New Roman"/>
          <w:i/>
          <w:sz w:val="24"/>
          <w:szCs w:val="24"/>
        </w:rPr>
        <w:t xml:space="preserve"> tan </w:t>
      </w:r>
      <w:r w:rsidRPr="00AA65A0">
        <w:rPr>
          <w:rFonts w:ascii="Times New Roman" w:hAnsi="Times New Roman"/>
          <w:sz w:val="24"/>
          <w:szCs w:val="24"/>
          <w:lang w:eastAsia="zh-CN"/>
        </w:rPr>
        <w:t>[Party</w:t>
      </w:r>
      <w:r>
        <w:rPr>
          <w:rFonts w:ascii="Times New Roman" w:hAnsi="Times New Roman"/>
          <w:sz w:val="24"/>
          <w:szCs w:val="24"/>
          <w:lang w:eastAsia="zh-CN"/>
        </w:rPr>
        <w:t>-Building Research Discussion].</w:t>
      </w:r>
      <w:r w:rsidRPr="00AA65A0">
        <w:rPr>
          <w:rFonts w:ascii="Times New Roman" w:hAnsi="Times New Roman"/>
          <w:sz w:val="24"/>
          <w:szCs w:val="24"/>
        </w:rPr>
        <w:t xml:space="preserve"> </w:t>
      </w:r>
      <w:r>
        <w:rPr>
          <w:rFonts w:ascii="Times New Roman" w:hAnsi="Times New Roman"/>
          <w:sz w:val="24"/>
          <w:szCs w:val="24"/>
        </w:rPr>
        <w:t xml:space="preserve">Beijing: </w:t>
      </w:r>
      <w:proofErr w:type="spellStart"/>
      <w:r>
        <w:rPr>
          <w:rFonts w:ascii="Times New Roman" w:hAnsi="Times New Roman"/>
          <w:i/>
          <w:sz w:val="24"/>
          <w:szCs w:val="24"/>
        </w:rPr>
        <w:t>Dangjian</w:t>
      </w:r>
      <w:proofErr w:type="spellEnd"/>
      <w:r>
        <w:rPr>
          <w:rFonts w:ascii="Times New Roman" w:hAnsi="Times New Roman"/>
          <w:i/>
          <w:sz w:val="24"/>
          <w:szCs w:val="24"/>
        </w:rPr>
        <w:t xml:space="preserve"> </w:t>
      </w:r>
      <w:proofErr w:type="spellStart"/>
      <w:r>
        <w:rPr>
          <w:rFonts w:ascii="Times New Roman" w:hAnsi="Times New Roman"/>
          <w:i/>
          <w:sz w:val="24"/>
          <w:szCs w:val="24"/>
        </w:rPr>
        <w:t>duwu</w:t>
      </w:r>
      <w:proofErr w:type="spellEnd"/>
    </w:p>
    <w:p w14:paraId="2EF2B650" w14:textId="77777777" w:rsidR="008E0CD3" w:rsidRPr="00211DAB" w:rsidRDefault="008E0CD3" w:rsidP="008E0CD3">
      <w:pPr>
        <w:pStyle w:val="FootnoteText"/>
        <w:ind w:left="720"/>
        <w:rPr>
          <w:rFonts w:ascii="Times New Roman" w:hAnsi="Times New Roman"/>
          <w:i/>
          <w:sz w:val="24"/>
          <w:szCs w:val="24"/>
        </w:rPr>
      </w:pPr>
      <w:proofErr w:type="spellStart"/>
      <w:r>
        <w:rPr>
          <w:rFonts w:ascii="Times New Roman" w:hAnsi="Times New Roman"/>
          <w:i/>
          <w:sz w:val="24"/>
          <w:szCs w:val="24"/>
        </w:rPr>
        <w:t>chubanshe</w:t>
      </w:r>
      <w:proofErr w:type="spellEnd"/>
      <w:r>
        <w:rPr>
          <w:rFonts w:ascii="Times New Roman" w:hAnsi="Times New Roman"/>
          <w:sz w:val="24"/>
          <w:szCs w:val="24"/>
        </w:rPr>
        <w:t>.</w:t>
      </w:r>
    </w:p>
    <w:p w14:paraId="3048F188" w14:textId="77777777" w:rsidR="008E0CD3" w:rsidRPr="00CA3E55" w:rsidRDefault="008E0CD3" w:rsidP="008E0CD3">
      <w:pPr>
        <w:snapToGrid w:val="0"/>
        <w:ind w:left="720" w:hanging="720"/>
        <w:jc w:val="both"/>
        <w:rPr>
          <w:rStyle w:val="surname"/>
          <w:bdr w:val="none" w:sz="0" w:space="0" w:color="auto" w:frame="1"/>
          <w:shd w:val="clear" w:color="auto" w:fill="FFFFFF"/>
        </w:rPr>
      </w:pPr>
      <w:r w:rsidRPr="00CA3E55">
        <w:rPr>
          <w:rFonts w:eastAsia="Songti TC"/>
        </w:rPr>
        <w:t xml:space="preserve">Chang, Eric C. and Sonia M.L. Wong. 2004. “Political Control and Performance in China’s Listed Firms.” </w:t>
      </w:r>
      <w:r w:rsidRPr="00CA3E55">
        <w:rPr>
          <w:rFonts w:eastAsia="Songti TC"/>
          <w:i/>
        </w:rPr>
        <w:t xml:space="preserve">Journal of Comparative Economics </w:t>
      </w:r>
      <w:r w:rsidRPr="00CA3E55">
        <w:rPr>
          <w:rFonts w:eastAsia="Songti TC"/>
        </w:rPr>
        <w:t xml:space="preserve">32, no. 4: 617-636. </w:t>
      </w:r>
      <w:bookmarkEnd w:id="3"/>
    </w:p>
    <w:p w14:paraId="7966B968" w14:textId="77777777" w:rsidR="008E0CD3" w:rsidRPr="00CA3E55" w:rsidRDefault="008E0CD3" w:rsidP="008E0CD3">
      <w:pPr>
        <w:ind w:left="720" w:hanging="720"/>
      </w:pPr>
      <w:r w:rsidRPr="00CA3E55">
        <w:rPr>
          <w:rStyle w:val="surname"/>
          <w:bdr w:val="none" w:sz="0" w:space="0" w:color="auto" w:frame="1"/>
          <w:shd w:val="clear" w:color="auto" w:fill="FFFFFF"/>
        </w:rPr>
        <w:t>Chen</w:t>
      </w:r>
      <w:r w:rsidRPr="00CA3E55">
        <w:rPr>
          <w:rStyle w:val="name"/>
          <w:bdr w:val="none" w:sz="0" w:space="0" w:color="auto" w:frame="1"/>
          <w:shd w:val="clear" w:color="auto" w:fill="FFFFFF"/>
        </w:rPr>
        <w:t>, </w:t>
      </w:r>
      <w:r w:rsidRPr="00CA3E55">
        <w:rPr>
          <w:rStyle w:val="given-names"/>
          <w:bdr w:val="none" w:sz="0" w:space="0" w:color="auto" w:frame="1"/>
          <w:shd w:val="clear" w:color="auto" w:fill="FFFFFF"/>
        </w:rPr>
        <w:t xml:space="preserve">Jay </w:t>
      </w:r>
      <w:proofErr w:type="spellStart"/>
      <w:r w:rsidRPr="00CA3E55">
        <w:rPr>
          <w:rStyle w:val="given-names"/>
          <w:bdr w:val="none" w:sz="0" w:space="0" w:color="auto" w:frame="1"/>
          <w:shd w:val="clear" w:color="auto" w:fill="FFFFFF"/>
        </w:rPr>
        <w:t>Chih-Jou</w:t>
      </w:r>
      <w:proofErr w:type="spellEnd"/>
      <w:r w:rsidRPr="00CA3E55">
        <w:rPr>
          <w:shd w:val="clear" w:color="auto" w:fill="FFFFFF"/>
        </w:rPr>
        <w:t>. 2006. “</w:t>
      </w:r>
      <w:r w:rsidRPr="00CA3E55">
        <w:rPr>
          <w:rStyle w:val="article-title"/>
          <w:bdr w:val="none" w:sz="0" w:space="0" w:color="auto" w:frame="1"/>
          <w:shd w:val="clear" w:color="auto" w:fill="FFFFFF"/>
        </w:rPr>
        <w:t>Elite Mobility in Post-Reform Rural China</w:t>
      </w:r>
      <w:r w:rsidRPr="00CA3E55">
        <w:rPr>
          <w:shd w:val="clear" w:color="auto" w:fill="FFFFFF"/>
        </w:rPr>
        <w:t>.” </w:t>
      </w:r>
      <w:r w:rsidRPr="00CA3E55">
        <w:rPr>
          <w:rStyle w:val="source"/>
          <w:i/>
          <w:iCs/>
          <w:bdr w:val="none" w:sz="0" w:space="0" w:color="auto" w:frame="1"/>
          <w:shd w:val="clear" w:color="auto" w:fill="FFFFFF"/>
        </w:rPr>
        <w:t xml:space="preserve">Issues and Studies </w:t>
      </w:r>
      <w:r w:rsidRPr="00CA3E55">
        <w:rPr>
          <w:rStyle w:val="source"/>
          <w:iCs/>
          <w:bdr w:val="none" w:sz="0" w:space="0" w:color="auto" w:frame="1"/>
          <w:shd w:val="clear" w:color="auto" w:fill="FFFFFF"/>
        </w:rPr>
        <w:t xml:space="preserve">42, no. 2: </w:t>
      </w:r>
      <w:r w:rsidRPr="00CA3E55">
        <w:rPr>
          <w:rStyle w:val="fpage"/>
          <w:bdr w:val="none" w:sz="0" w:space="0" w:color="auto" w:frame="1"/>
          <w:shd w:val="clear" w:color="auto" w:fill="FFFFFF"/>
        </w:rPr>
        <w:t>53</w:t>
      </w:r>
      <w:r w:rsidRPr="00CA3E55">
        <w:rPr>
          <w:shd w:val="clear" w:color="auto" w:fill="FFFFFF"/>
        </w:rPr>
        <w:t>–</w:t>
      </w:r>
      <w:r w:rsidRPr="00CA3E55">
        <w:rPr>
          <w:rStyle w:val="lpage"/>
          <w:bdr w:val="none" w:sz="0" w:space="0" w:color="auto" w:frame="1"/>
          <w:shd w:val="clear" w:color="auto" w:fill="FFFFFF"/>
        </w:rPr>
        <w:t>83</w:t>
      </w:r>
      <w:r w:rsidRPr="00CA3E55">
        <w:rPr>
          <w:shd w:val="clear" w:color="auto" w:fill="FFFFFF"/>
        </w:rPr>
        <w:t>.</w:t>
      </w:r>
    </w:p>
    <w:p w14:paraId="74E3C42A" w14:textId="77777777" w:rsidR="008E0CD3" w:rsidRPr="00CA3E55" w:rsidRDefault="008E0CD3" w:rsidP="008E0CD3">
      <w:pPr>
        <w:snapToGrid w:val="0"/>
        <w:ind w:left="720" w:hanging="720"/>
        <w:jc w:val="both"/>
        <w:rPr>
          <w:rFonts w:eastAsia="Songti TC"/>
        </w:rPr>
      </w:pPr>
      <w:bookmarkStart w:id="4" w:name="_Hlk9325995"/>
      <w:r w:rsidRPr="00CA3E55">
        <w:rPr>
          <w:rFonts w:eastAsia="Songti TC"/>
        </w:rPr>
        <w:t xml:space="preserve">Choi, </w:t>
      </w:r>
      <w:proofErr w:type="spellStart"/>
      <w:r w:rsidRPr="00CA3E55">
        <w:rPr>
          <w:rFonts w:eastAsia="Songti TC"/>
        </w:rPr>
        <w:t>Eun</w:t>
      </w:r>
      <w:proofErr w:type="spellEnd"/>
      <w:r w:rsidRPr="00CA3E55">
        <w:rPr>
          <w:rFonts w:eastAsia="Songti TC"/>
        </w:rPr>
        <w:t xml:space="preserve"> Kyong. 2012. “Patronage and Performance: Factors in the Political Mobility of Provincial Leaders in Post-Deng China.” </w:t>
      </w:r>
      <w:r w:rsidRPr="00CA3E55">
        <w:rPr>
          <w:rFonts w:eastAsia="Songti TC"/>
          <w:i/>
        </w:rPr>
        <w:t>The China Quarterly</w:t>
      </w:r>
      <w:r w:rsidRPr="00CA3E55">
        <w:rPr>
          <w:rFonts w:eastAsia="Songti TC"/>
        </w:rPr>
        <w:t xml:space="preserve"> 212: 965–981.</w:t>
      </w:r>
    </w:p>
    <w:bookmarkEnd w:id="4"/>
    <w:p w14:paraId="60E962FC" w14:textId="77777777" w:rsidR="008E0CD3" w:rsidRPr="00CA3E55" w:rsidRDefault="008E0CD3" w:rsidP="008E0CD3">
      <w:pPr>
        <w:ind w:left="720" w:hanging="720"/>
        <w:jc w:val="both"/>
        <w:rPr>
          <w:shd w:val="clear" w:color="auto" w:fill="FFFFFF"/>
        </w:rPr>
      </w:pPr>
      <w:r w:rsidRPr="00CA3E55">
        <w:rPr>
          <w:shd w:val="clear" w:color="auto" w:fill="FFFFFF"/>
        </w:rPr>
        <w:t>Cuervo-</w:t>
      </w:r>
      <w:proofErr w:type="spellStart"/>
      <w:r w:rsidRPr="00CA3E55">
        <w:rPr>
          <w:shd w:val="clear" w:color="auto" w:fill="FFFFFF"/>
        </w:rPr>
        <w:t>Cazurra</w:t>
      </w:r>
      <w:proofErr w:type="spellEnd"/>
      <w:r w:rsidRPr="00CA3E55">
        <w:rPr>
          <w:shd w:val="clear" w:color="auto" w:fill="FFFFFF"/>
        </w:rPr>
        <w:t xml:space="preserve">, Alvaro, Andrew </w:t>
      </w:r>
      <w:proofErr w:type="spellStart"/>
      <w:r w:rsidRPr="00CA3E55">
        <w:rPr>
          <w:shd w:val="clear" w:color="auto" w:fill="FFFFFF"/>
        </w:rPr>
        <w:t>Inkpen</w:t>
      </w:r>
      <w:proofErr w:type="spellEnd"/>
      <w:r w:rsidRPr="00CA3E55">
        <w:rPr>
          <w:shd w:val="clear" w:color="auto" w:fill="FFFFFF"/>
        </w:rPr>
        <w:t xml:space="preserve">, Aldo </w:t>
      </w:r>
      <w:proofErr w:type="spellStart"/>
      <w:r w:rsidRPr="00CA3E55">
        <w:rPr>
          <w:shd w:val="clear" w:color="auto" w:fill="FFFFFF"/>
        </w:rPr>
        <w:t>Musacchio</w:t>
      </w:r>
      <w:proofErr w:type="spellEnd"/>
      <w:r w:rsidRPr="00CA3E55">
        <w:rPr>
          <w:shd w:val="clear" w:color="auto" w:fill="FFFFFF"/>
        </w:rPr>
        <w:t xml:space="preserve">, and Kannan Ramaswamy. 2014. “Governments as Owners: State-owned Multinational Companies.” </w:t>
      </w:r>
      <w:r w:rsidRPr="00CA3E55">
        <w:rPr>
          <w:i/>
          <w:shd w:val="clear" w:color="auto" w:fill="FFFFFF"/>
        </w:rPr>
        <w:t xml:space="preserve">Journal of International Business Studies. </w:t>
      </w:r>
      <w:r w:rsidRPr="00CA3E55">
        <w:rPr>
          <w:shd w:val="clear" w:color="auto" w:fill="FFFFFF"/>
        </w:rPr>
        <w:t>45, no. 8: 919-942.</w:t>
      </w:r>
    </w:p>
    <w:p w14:paraId="748754C1" w14:textId="77777777" w:rsidR="008E0CD3" w:rsidRPr="00CA3E55" w:rsidRDefault="008E0CD3" w:rsidP="008E0CD3">
      <w:pPr>
        <w:ind w:left="720" w:hanging="720"/>
        <w:jc w:val="both"/>
        <w:rPr>
          <w:rFonts w:eastAsia="Songti TC"/>
          <w:shd w:val="clear" w:color="auto" w:fill="FFFFFF"/>
        </w:rPr>
      </w:pPr>
      <w:r w:rsidRPr="00CA3E55">
        <w:rPr>
          <w:shd w:val="clear" w:color="auto" w:fill="FFFFFF"/>
        </w:rPr>
        <w:t xml:space="preserve">Clayton, Matthew C., Jay C. Hartzell, and Joshua Rosenberg. 2005. “The Impact of CEO Turnover on Equity Volatility.” </w:t>
      </w:r>
      <w:r w:rsidRPr="00CA3E55">
        <w:rPr>
          <w:i/>
          <w:shd w:val="clear" w:color="auto" w:fill="FFFFFF"/>
        </w:rPr>
        <w:t xml:space="preserve">The Journal of Business </w:t>
      </w:r>
      <w:r w:rsidRPr="00CA3E55">
        <w:rPr>
          <w:shd w:val="clear" w:color="auto" w:fill="FFFFFF"/>
        </w:rPr>
        <w:t>78, no. 5: 1779-1808.</w:t>
      </w:r>
    </w:p>
    <w:p w14:paraId="06CB6FF2" w14:textId="77777777" w:rsidR="008E0CD3" w:rsidRPr="00CA3E55" w:rsidRDefault="008E0CD3" w:rsidP="008E0CD3">
      <w:pPr>
        <w:snapToGrid w:val="0"/>
        <w:ind w:left="720" w:hanging="720"/>
        <w:jc w:val="both"/>
        <w:rPr>
          <w:rFonts w:eastAsia="Songti TC"/>
          <w:shd w:val="clear" w:color="auto" w:fill="FFFFFF"/>
        </w:rPr>
      </w:pPr>
      <w:proofErr w:type="spellStart"/>
      <w:r w:rsidRPr="00CA3E55">
        <w:rPr>
          <w:rFonts w:eastAsia="Songti TC"/>
          <w:shd w:val="clear" w:color="auto" w:fill="FFFFFF"/>
        </w:rPr>
        <w:t>Dewenter</w:t>
      </w:r>
      <w:proofErr w:type="spellEnd"/>
      <w:r w:rsidRPr="00CA3E55">
        <w:rPr>
          <w:rFonts w:eastAsia="Songti TC"/>
          <w:shd w:val="clear" w:color="auto" w:fill="FFFFFF"/>
        </w:rPr>
        <w:t>, Kathryn L., and Paul H. Malatesta. 2001. “State-Owned and Privately Owned Firms: An Empirical Analysis of Profitability, Leverage, and Labor Intensity.” </w:t>
      </w:r>
      <w:r w:rsidRPr="00CA3E55">
        <w:rPr>
          <w:rFonts w:eastAsia="Songti TC"/>
          <w:i/>
          <w:iCs/>
          <w:shd w:val="clear" w:color="auto" w:fill="FFFFFF"/>
        </w:rPr>
        <w:t>American Economic Review</w:t>
      </w:r>
      <w:r w:rsidRPr="00CA3E55">
        <w:rPr>
          <w:rFonts w:eastAsia="Songti TC"/>
          <w:i/>
          <w:shd w:val="clear" w:color="auto" w:fill="FFFFFF"/>
        </w:rPr>
        <w:t> </w:t>
      </w:r>
      <w:r w:rsidRPr="00CA3E55">
        <w:rPr>
          <w:rFonts w:eastAsia="Songti TC"/>
          <w:shd w:val="clear" w:color="auto" w:fill="FFFFFF"/>
        </w:rPr>
        <w:t>91, no. 1: 320-334.</w:t>
      </w:r>
    </w:p>
    <w:p w14:paraId="459245E5" w14:textId="77777777" w:rsidR="008E0CD3" w:rsidRPr="00CA3E55" w:rsidRDefault="008E0CD3" w:rsidP="008E0CD3">
      <w:pPr>
        <w:snapToGrid w:val="0"/>
        <w:ind w:left="720" w:hanging="720"/>
        <w:jc w:val="both"/>
        <w:rPr>
          <w:rFonts w:eastAsia="Songti TC"/>
        </w:rPr>
      </w:pPr>
      <w:r w:rsidRPr="00CA3E55">
        <w:rPr>
          <w:rFonts w:eastAsia="Songti TC"/>
          <w:shd w:val="clear" w:color="auto" w:fill="FFFFFF"/>
        </w:rPr>
        <w:t xml:space="preserve">Ehrlich, Isaac, Georges </w:t>
      </w:r>
      <w:proofErr w:type="spellStart"/>
      <w:r w:rsidRPr="00CA3E55">
        <w:rPr>
          <w:rFonts w:eastAsia="Songti TC"/>
          <w:shd w:val="clear" w:color="auto" w:fill="FFFFFF"/>
        </w:rPr>
        <w:t>Gallais-Hamonno</w:t>
      </w:r>
      <w:proofErr w:type="spellEnd"/>
      <w:r w:rsidRPr="00CA3E55">
        <w:rPr>
          <w:rFonts w:eastAsia="Songti TC"/>
          <w:shd w:val="clear" w:color="auto" w:fill="FFFFFF"/>
        </w:rPr>
        <w:t xml:space="preserve">, </w:t>
      </w:r>
      <w:proofErr w:type="spellStart"/>
      <w:r w:rsidRPr="00CA3E55">
        <w:rPr>
          <w:rFonts w:eastAsia="Songti TC"/>
          <w:shd w:val="clear" w:color="auto" w:fill="FFFFFF"/>
        </w:rPr>
        <w:t>Zhiqiang</w:t>
      </w:r>
      <w:proofErr w:type="spellEnd"/>
      <w:r w:rsidRPr="00CA3E55">
        <w:rPr>
          <w:rFonts w:eastAsia="Songti TC"/>
          <w:shd w:val="clear" w:color="auto" w:fill="FFFFFF"/>
        </w:rPr>
        <w:t xml:space="preserve"> Liu, and Randall </w:t>
      </w:r>
      <w:proofErr w:type="spellStart"/>
      <w:r w:rsidRPr="00CA3E55">
        <w:rPr>
          <w:rFonts w:eastAsia="Songti TC"/>
          <w:shd w:val="clear" w:color="auto" w:fill="FFFFFF"/>
        </w:rPr>
        <w:t>Lutter</w:t>
      </w:r>
      <w:proofErr w:type="spellEnd"/>
      <w:r w:rsidRPr="00CA3E55">
        <w:rPr>
          <w:rFonts w:eastAsia="Songti TC"/>
          <w:shd w:val="clear" w:color="auto" w:fill="FFFFFF"/>
        </w:rPr>
        <w:t xml:space="preserve">. 1994. “Productivity Growth and Firm Ownership: An Analytical and Empirical Investigation.” </w:t>
      </w:r>
      <w:r w:rsidRPr="00CA3E55">
        <w:rPr>
          <w:rFonts w:eastAsia="Songti TC"/>
          <w:i/>
          <w:iCs/>
          <w:shd w:val="clear" w:color="auto" w:fill="FFFFFF"/>
        </w:rPr>
        <w:t>Journal of Political Economy</w:t>
      </w:r>
      <w:r w:rsidRPr="00CA3E55">
        <w:rPr>
          <w:rFonts w:eastAsia="Songti TC"/>
          <w:shd w:val="clear" w:color="auto" w:fill="FFFFFF"/>
        </w:rPr>
        <w:t> 102, no. 5: 1006-1038.</w:t>
      </w:r>
    </w:p>
    <w:p w14:paraId="179037C3" w14:textId="77777777" w:rsidR="008E0CD3" w:rsidRPr="00CA3E55" w:rsidRDefault="008E0CD3" w:rsidP="008E0CD3">
      <w:pPr>
        <w:snapToGrid w:val="0"/>
        <w:ind w:left="720" w:hanging="720"/>
        <w:jc w:val="both"/>
        <w:rPr>
          <w:rFonts w:eastAsia="Songti TC"/>
          <w:shd w:val="clear" w:color="auto" w:fill="FFFFFF"/>
        </w:rPr>
      </w:pPr>
      <w:proofErr w:type="spellStart"/>
      <w:r w:rsidRPr="00CA3E55">
        <w:rPr>
          <w:rFonts w:eastAsia="Songti TC"/>
          <w:shd w:val="clear" w:color="auto" w:fill="FFFFFF"/>
        </w:rPr>
        <w:t>Ennser</w:t>
      </w:r>
      <w:r>
        <w:rPr>
          <w:rFonts w:eastAsia="Songti TC"/>
          <w:shd w:val="clear" w:color="auto" w:fill="FFFFFF"/>
        </w:rPr>
        <w:t>-</w:t>
      </w:r>
      <w:r w:rsidRPr="00CA3E55">
        <w:rPr>
          <w:rFonts w:eastAsia="Songti TC"/>
          <w:shd w:val="clear" w:color="auto" w:fill="FFFFFF"/>
        </w:rPr>
        <w:t>Jedenastik</w:t>
      </w:r>
      <w:proofErr w:type="spellEnd"/>
      <w:r w:rsidRPr="00CA3E55">
        <w:rPr>
          <w:rFonts w:eastAsia="Songti TC"/>
          <w:shd w:val="clear" w:color="auto" w:fill="FFFFFF"/>
        </w:rPr>
        <w:t xml:space="preserve">, </w:t>
      </w:r>
      <w:proofErr w:type="spellStart"/>
      <w:r w:rsidRPr="00CA3E55">
        <w:rPr>
          <w:rFonts w:eastAsia="Songti TC"/>
          <w:shd w:val="clear" w:color="auto" w:fill="FFFFFF"/>
        </w:rPr>
        <w:t>Laurenz</w:t>
      </w:r>
      <w:proofErr w:type="spellEnd"/>
      <w:r w:rsidRPr="00CA3E55">
        <w:rPr>
          <w:rFonts w:eastAsia="Songti TC"/>
          <w:shd w:val="clear" w:color="auto" w:fill="FFFFFF"/>
        </w:rPr>
        <w:t>. 2014. “The Politics of Patronage and Coalition: How Parties Allocate Managerial Positions in State-Owned Enterprises.” </w:t>
      </w:r>
      <w:r w:rsidRPr="00CA3E55">
        <w:rPr>
          <w:rFonts w:eastAsia="Songti TC"/>
          <w:i/>
          <w:iCs/>
          <w:shd w:val="clear" w:color="auto" w:fill="FFFFFF"/>
        </w:rPr>
        <w:t xml:space="preserve">Political Studies </w:t>
      </w:r>
      <w:r w:rsidRPr="00CA3E55">
        <w:rPr>
          <w:rFonts w:eastAsia="Songti TC"/>
          <w:iCs/>
          <w:shd w:val="clear" w:color="auto" w:fill="FFFFFF"/>
        </w:rPr>
        <w:t>62, no.</w:t>
      </w:r>
      <w:r w:rsidRPr="00CA3E55">
        <w:rPr>
          <w:rFonts w:eastAsia="Songti TC"/>
          <w:shd w:val="clear" w:color="auto" w:fill="FFFFFF"/>
        </w:rPr>
        <w:t xml:space="preserve"> 2: 398-417.</w:t>
      </w:r>
    </w:p>
    <w:p w14:paraId="12B7F7F4" w14:textId="77777777" w:rsidR="008E0CD3" w:rsidRPr="00CA3E55" w:rsidRDefault="008E0CD3" w:rsidP="008E0CD3">
      <w:pPr>
        <w:snapToGrid w:val="0"/>
        <w:ind w:left="720" w:hanging="720"/>
        <w:jc w:val="both"/>
      </w:pPr>
      <w:proofErr w:type="spellStart"/>
      <w:r w:rsidRPr="00CA3E55">
        <w:rPr>
          <w:shd w:val="clear" w:color="auto" w:fill="FFFFFF"/>
        </w:rPr>
        <w:t>Filatov</w:t>
      </w:r>
      <w:proofErr w:type="spellEnd"/>
      <w:r w:rsidRPr="00CA3E55">
        <w:rPr>
          <w:shd w:val="clear" w:color="auto" w:fill="FFFFFF"/>
        </w:rPr>
        <w:t xml:space="preserve">, Alexander, Vladimir </w:t>
      </w:r>
      <w:proofErr w:type="spellStart"/>
      <w:r w:rsidRPr="00CA3E55">
        <w:rPr>
          <w:shd w:val="clear" w:color="auto" w:fill="FFFFFF"/>
        </w:rPr>
        <w:t>Tutkevich</w:t>
      </w:r>
      <w:proofErr w:type="spellEnd"/>
      <w:r w:rsidRPr="00CA3E55">
        <w:rPr>
          <w:shd w:val="clear" w:color="auto" w:fill="FFFFFF"/>
        </w:rPr>
        <w:t xml:space="preserve">, and Dmitry </w:t>
      </w:r>
      <w:proofErr w:type="spellStart"/>
      <w:r w:rsidRPr="00CA3E55">
        <w:rPr>
          <w:shd w:val="clear" w:color="auto" w:fill="FFFFFF"/>
        </w:rPr>
        <w:t>Cherkaev</w:t>
      </w:r>
      <w:proofErr w:type="spellEnd"/>
      <w:r w:rsidRPr="00CA3E55">
        <w:rPr>
          <w:shd w:val="clear" w:color="auto" w:fill="FFFFFF"/>
        </w:rPr>
        <w:t xml:space="preserve">. 2005. “Board of Directors at State-Owned Enterprises (SOE) in Russia.” OECD Russian Corporate Governance Roundtable. </w:t>
      </w:r>
    </w:p>
    <w:p w14:paraId="36B00363" w14:textId="77777777" w:rsidR="008E0CD3" w:rsidRPr="00CA3E55" w:rsidRDefault="008E0CD3" w:rsidP="008E0CD3">
      <w:pPr>
        <w:snapToGrid w:val="0"/>
        <w:ind w:left="720" w:hanging="720"/>
        <w:jc w:val="both"/>
        <w:rPr>
          <w:rFonts w:eastAsia="Songti TC"/>
        </w:rPr>
      </w:pPr>
      <w:proofErr w:type="spellStart"/>
      <w:r w:rsidRPr="00CA3E55">
        <w:rPr>
          <w:rFonts w:eastAsia="Songti TC"/>
          <w:shd w:val="clear" w:color="auto" w:fill="FFFFFF"/>
        </w:rPr>
        <w:t>Frydman</w:t>
      </w:r>
      <w:proofErr w:type="spellEnd"/>
      <w:r w:rsidRPr="00CA3E55">
        <w:rPr>
          <w:rFonts w:eastAsia="Songti TC"/>
          <w:shd w:val="clear" w:color="auto" w:fill="FFFFFF"/>
        </w:rPr>
        <w:t xml:space="preserve">, Roman, Cheryl Gray, Marek Hessel, and Andrzej </w:t>
      </w:r>
      <w:proofErr w:type="spellStart"/>
      <w:r w:rsidRPr="00CA3E55">
        <w:rPr>
          <w:rFonts w:eastAsia="Songti TC"/>
          <w:shd w:val="clear" w:color="auto" w:fill="FFFFFF"/>
        </w:rPr>
        <w:t>Rapaczynski</w:t>
      </w:r>
      <w:proofErr w:type="spellEnd"/>
      <w:r w:rsidRPr="00CA3E55">
        <w:rPr>
          <w:rFonts w:eastAsia="Songti TC"/>
          <w:shd w:val="clear" w:color="auto" w:fill="FFFFFF"/>
        </w:rPr>
        <w:t>. 1999. “When Does Privatization Work? The Impact of Private Ownership on Corporate Performance in the Transition Economies.” </w:t>
      </w:r>
      <w:r w:rsidRPr="00CA3E55">
        <w:rPr>
          <w:rFonts w:eastAsia="Songti TC"/>
          <w:i/>
          <w:iCs/>
          <w:shd w:val="clear" w:color="auto" w:fill="FFFFFF"/>
        </w:rPr>
        <w:t>The Quarterly Journal of Economics</w:t>
      </w:r>
      <w:r w:rsidRPr="00CA3E55">
        <w:rPr>
          <w:rFonts w:eastAsia="Songti TC"/>
          <w:shd w:val="clear" w:color="auto" w:fill="FFFFFF"/>
        </w:rPr>
        <w:t> 114, no. 4: 1153-1191.</w:t>
      </w:r>
    </w:p>
    <w:p w14:paraId="197ECC34" w14:textId="77777777" w:rsidR="008E0CD3" w:rsidRPr="00236267" w:rsidRDefault="008E0CD3" w:rsidP="008E0CD3">
      <w:pPr>
        <w:snapToGrid w:val="0"/>
        <w:ind w:left="720" w:hanging="720"/>
        <w:jc w:val="both"/>
        <w:rPr>
          <w:rFonts w:eastAsia="Songti TC"/>
        </w:rPr>
      </w:pPr>
      <w:proofErr w:type="spellStart"/>
      <w:r w:rsidRPr="00CA3E55">
        <w:rPr>
          <w:rFonts w:eastAsia="Songti TC"/>
          <w:shd w:val="clear" w:color="auto" w:fill="FFFFFF"/>
        </w:rPr>
        <w:t>Hertog</w:t>
      </w:r>
      <w:proofErr w:type="spellEnd"/>
      <w:r w:rsidRPr="00CA3E55">
        <w:rPr>
          <w:rFonts w:eastAsia="Songti TC"/>
          <w:shd w:val="clear" w:color="auto" w:fill="FFFFFF"/>
        </w:rPr>
        <w:t>, Steffen. 2010. “Defying the Resource Curse: Explaining Successful State-Owned Enterprises in Rentier States.” </w:t>
      </w:r>
      <w:r w:rsidRPr="00CA3E55">
        <w:rPr>
          <w:rFonts w:eastAsia="Songti TC"/>
          <w:i/>
          <w:iCs/>
          <w:shd w:val="clear" w:color="auto" w:fill="FFFFFF"/>
        </w:rPr>
        <w:t>World Politics</w:t>
      </w:r>
      <w:r w:rsidRPr="00CA3E55">
        <w:rPr>
          <w:rFonts w:eastAsia="Songti TC"/>
          <w:shd w:val="clear" w:color="auto" w:fill="FFFFFF"/>
        </w:rPr>
        <w:t> </w:t>
      </w:r>
      <w:r w:rsidRPr="00236267">
        <w:rPr>
          <w:rFonts w:eastAsia="Songti TC"/>
          <w:shd w:val="clear" w:color="auto" w:fill="FFFFFF"/>
        </w:rPr>
        <w:t>62, no. 2: 261-301.</w:t>
      </w:r>
    </w:p>
    <w:p w14:paraId="306C9533" w14:textId="77777777" w:rsidR="008E0CD3" w:rsidRPr="00236267" w:rsidRDefault="008E0CD3" w:rsidP="008E0CD3">
      <w:pPr>
        <w:snapToGrid w:val="0"/>
        <w:ind w:left="720" w:hanging="720"/>
        <w:jc w:val="both"/>
        <w:rPr>
          <w:rFonts w:eastAsia="Songti TC"/>
        </w:rPr>
      </w:pPr>
      <w:r w:rsidRPr="00236267">
        <w:rPr>
          <w:rFonts w:eastAsia="Songti TC"/>
          <w:shd w:val="clear" w:color="auto" w:fill="FFFFFF"/>
        </w:rPr>
        <w:t xml:space="preserve">Hsueh, Roselyn. 2011. </w:t>
      </w:r>
      <w:r w:rsidRPr="00236267">
        <w:rPr>
          <w:rFonts w:eastAsia="Songti TC"/>
          <w:i/>
          <w:iCs/>
          <w:shd w:val="clear" w:color="auto" w:fill="FFFFFF"/>
        </w:rPr>
        <w:t>China’s Regulatory State: A New Strategy for Globalization</w:t>
      </w:r>
      <w:r w:rsidRPr="00236267">
        <w:rPr>
          <w:rFonts w:eastAsia="Songti TC"/>
          <w:shd w:val="clear" w:color="auto" w:fill="FFFFFF"/>
        </w:rPr>
        <w:t>. Ithaca, NY: Cornell University Press.</w:t>
      </w:r>
    </w:p>
    <w:p w14:paraId="791AB26D" w14:textId="77777777" w:rsidR="00127C2E" w:rsidRDefault="008E0CD3" w:rsidP="008E0CD3">
      <w:pPr>
        <w:snapToGrid w:val="0"/>
        <w:ind w:left="720" w:hanging="720"/>
        <w:jc w:val="both"/>
        <w:rPr>
          <w:rFonts w:eastAsia="Songti TC"/>
        </w:rPr>
      </w:pPr>
      <w:r w:rsidRPr="00236267">
        <w:rPr>
          <w:rFonts w:eastAsia="Songti TC"/>
        </w:rPr>
        <w:lastRenderedPageBreak/>
        <w:t xml:space="preserve">Jiang, </w:t>
      </w:r>
      <w:proofErr w:type="spellStart"/>
      <w:r w:rsidRPr="00236267">
        <w:rPr>
          <w:rFonts w:eastAsia="Songti TC"/>
        </w:rPr>
        <w:t>Junyan</w:t>
      </w:r>
      <w:proofErr w:type="spellEnd"/>
      <w:r w:rsidRPr="00236267">
        <w:rPr>
          <w:rFonts w:eastAsia="Songti TC"/>
        </w:rPr>
        <w:t xml:space="preserve">. </w:t>
      </w:r>
      <w:r w:rsidRPr="00CA3E55">
        <w:rPr>
          <w:rFonts w:eastAsia="Songti TC"/>
        </w:rPr>
        <w:t xml:space="preserve">2018. “Making Bureaucracy Work: Patronage Networks, Performance Incentives, and Economic Development in China.” </w:t>
      </w:r>
      <w:r w:rsidRPr="00CA3E55">
        <w:rPr>
          <w:rFonts w:eastAsia="Songti TC"/>
          <w:i/>
        </w:rPr>
        <w:t>American Journal of Political Science</w:t>
      </w:r>
      <w:r w:rsidRPr="00CA3E55">
        <w:rPr>
          <w:rFonts w:eastAsia="Songti TC"/>
        </w:rPr>
        <w:t xml:space="preserve"> 62, no. 4: 982-999.</w:t>
      </w:r>
    </w:p>
    <w:p w14:paraId="50A482BE" w14:textId="2E5E777D" w:rsidR="008E0CD3" w:rsidRPr="00CA3E55" w:rsidRDefault="008E0CD3" w:rsidP="008E0CD3">
      <w:pPr>
        <w:snapToGrid w:val="0"/>
        <w:ind w:left="720" w:hanging="720"/>
        <w:jc w:val="both"/>
        <w:rPr>
          <w:rFonts w:eastAsia="Songti TC"/>
        </w:rPr>
      </w:pPr>
      <w:r w:rsidRPr="00CA3E55">
        <w:rPr>
          <w:rFonts w:eastAsia="Songti TC"/>
        </w:rPr>
        <w:t xml:space="preserve">Keller, Franziska Barbara. 2016. “Moving Beyond Factions: Using Social Network Analysis to Uncover Patronage Networks Among Chinese Elites.” </w:t>
      </w:r>
      <w:r w:rsidRPr="00CA3E55">
        <w:rPr>
          <w:rFonts w:eastAsia="Songti TC"/>
          <w:i/>
        </w:rPr>
        <w:t>Journal of East Asian Studies</w:t>
      </w:r>
      <w:r w:rsidRPr="00CA3E55">
        <w:rPr>
          <w:rFonts w:eastAsia="Songti TC"/>
        </w:rPr>
        <w:t xml:space="preserve"> 16, no. 1: 17-41.</w:t>
      </w:r>
    </w:p>
    <w:p w14:paraId="52389C39" w14:textId="77777777" w:rsidR="008E0CD3" w:rsidRPr="00CA3E55" w:rsidRDefault="008E0CD3" w:rsidP="008E0CD3">
      <w:pPr>
        <w:snapToGrid w:val="0"/>
        <w:ind w:left="720" w:hanging="720"/>
        <w:jc w:val="both"/>
        <w:rPr>
          <w:rFonts w:eastAsia="Songti TC"/>
        </w:rPr>
      </w:pPr>
      <w:r w:rsidRPr="00CA3E55">
        <w:rPr>
          <w:rFonts w:eastAsia="Songti TC"/>
        </w:rPr>
        <w:t xml:space="preserve">Kowalski, </w:t>
      </w:r>
      <w:proofErr w:type="spellStart"/>
      <w:r w:rsidRPr="00CA3E55">
        <w:rPr>
          <w:shd w:val="clear" w:color="auto" w:fill="FFFFFF"/>
        </w:rPr>
        <w:t>Przemyslaw</w:t>
      </w:r>
      <w:proofErr w:type="spellEnd"/>
      <w:r w:rsidRPr="00CA3E55">
        <w:rPr>
          <w:rFonts w:eastAsia="Songti TC"/>
        </w:rPr>
        <w:t xml:space="preserve">, Max </w:t>
      </w:r>
      <w:proofErr w:type="spellStart"/>
      <w:r w:rsidRPr="00CA3E55">
        <w:rPr>
          <w:rFonts w:eastAsia="Songti TC"/>
        </w:rPr>
        <w:t>Büge</w:t>
      </w:r>
      <w:proofErr w:type="spellEnd"/>
      <w:r w:rsidRPr="00CA3E55">
        <w:rPr>
          <w:rFonts w:eastAsia="Songti TC"/>
        </w:rPr>
        <w:t xml:space="preserve">, Monika </w:t>
      </w:r>
      <w:proofErr w:type="spellStart"/>
      <w:r w:rsidRPr="00CA3E55">
        <w:rPr>
          <w:rFonts w:eastAsia="Songti TC"/>
        </w:rPr>
        <w:t>Sztajerowska</w:t>
      </w:r>
      <w:proofErr w:type="spellEnd"/>
      <w:r w:rsidRPr="00CA3E55">
        <w:rPr>
          <w:rFonts w:eastAsia="Songti TC"/>
        </w:rPr>
        <w:t xml:space="preserve"> and Matias Egeland. 2013. “State-Owned Enterprises: Trade Effects and Policy Implications.” OECD Trade Policy Papers, no. 147.</w:t>
      </w:r>
    </w:p>
    <w:p w14:paraId="60CE1172" w14:textId="77777777" w:rsidR="008E0CD3" w:rsidRPr="00CA3E55" w:rsidRDefault="008E0CD3" w:rsidP="008E0CD3">
      <w:pPr>
        <w:snapToGrid w:val="0"/>
        <w:ind w:left="720" w:hanging="720"/>
        <w:jc w:val="both"/>
        <w:rPr>
          <w:rFonts w:eastAsia="Songti TC"/>
        </w:rPr>
      </w:pPr>
      <w:r w:rsidRPr="00CA3E55">
        <w:rPr>
          <w:rFonts w:eastAsia="Songti TC"/>
        </w:rPr>
        <w:t xml:space="preserve">Landry, Pierre F. 2003. “The Political Management of Mayors in Post-Deng China.” </w:t>
      </w:r>
      <w:r w:rsidRPr="00CA3E55">
        <w:rPr>
          <w:rFonts w:eastAsia="Songti TC"/>
          <w:i/>
        </w:rPr>
        <w:t>Copenhagen Journal of Asian Studies</w:t>
      </w:r>
      <w:r w:rsidRPr="00CA3E55">
        <w:rPr>
          <w:rFonts w:eastAsia="Songti TC"/>
        </w:rPr>
        <w:t xml:space="preserve"> 17: 31–58. </w:t>
      </w:r>
    </w:p>
    <w:p w14:paraId="5C801AFA" w14:textId="77777777" w:rsidR="008E0CD3" w:rsidRPr="00CA3E55" w:rsidRDefault="008E0CD3" w:rsidP="008E0CD3">
      <w:pPr>
        <w:snapToGrid w:val="0"/>
        <w:ind w:left="720" w:hanging="720"/>
        <w:jc w:val="both"/>
        <w:rPr>
          <w:rFonts w:eastAsia="Songti TC"/>
        </w:rPr>
      </w:pPr>
      <w:bookmarkStart w:id="5" w:name="_Hlk9326185"/>
      <w:r w:rsidRPr="00CA3E55">
        <w:rPr>
          <w:rFonts w:eastAsia="Songti TC"/>
        </w:rPr>
        <w:t xml:space="preserve">Landry, Pierre F. 2008. </w:t>
      </w:r>
      <w:r w:rsidRPr="00CA3E55">
        <w:rPr>
          <w:rFonts w:eastAsia="Songti TC"/>
          <w:i/>
        </w:rPr>
        <w:t>Decentralized Authoritarianism in China: The Communist Party’s Control of Local Elites in the Post-Mao Era</w:t>
      </w:r>
      <w:r w:rsidRPr="00CA3E55">
        <w:rPr>
          <w:rFonts w:eastAsia="Songti TC"/>
        </w:rPr>
        <w:t xml:space="preserve">. New York: Cambridge University Press. </w:t>
      </w:r>
    </w:p>
    <w:bookmarkEnd w:id="5"/>
    <w:p w14:paraId="3997DD7C" w14:textId="77777777" w:rsidR="008E0CD3" w:rsidRPr="00CA3E55" w:rsidRDefault="008E0CD3" w:rsidP="008E0CD3">
      <w:pPr>
        <w:snapToGrid w:val="0"/>
        <w:ind w:left="720" w:hanging="720"/>
        <w:jc w:val="both"/>
        <w:rPr>
          <w:rFonts w:eastAsia="Songti TC"/>
        </w:rPr>
      </w:pPr>
      <w:r w:rsidRPr="00CA3E55">
        <w:rPr>
          <w:rFonts w:eastAsia="Songti TC"/>
        </w:rPr>
        <w:t xml:space="preserve">Landry, Pierre F., Xiaobo </w:t>
      </w:r>
      <w:proofErr w:type="spellStart"/>
      <w:r w:rsidRPr="00CA3E55">
        <w:rPr>
          <w:rFonts w:eastAsia="Songti TC"/>
        </w:rPr>
        <w:t>Lü</w:t>
      </w:r>
      <w:proofErr w:type="spellEnd"/>
      <w:r w:rsidRPr="00CA3E55">
        <w:rPr>
          <w:rFonts w:eastAsia="Songti TC"/>
        </w:rPr>
        <w:t xml:space="preserve">, and Haiyan Duan. 2018. “Does Performance Matter? Evaluating Political Selection Along the Chinese Administrative Ladder.” </w:t>
      </w:r>
      <w:r w:rsidRPr="00CA3E55">
        <w:rPr>
          <w:rFonts w:eastAsia="Songti TC"/>
          <w:i/>
        </w:rPr>
        <w:t>Comparative Political Studies</w:t>
      </w:r>
      <w:r w:rsidRPr="00CA3E55">
        <w:rPr>
          <w:rFonts w:eastAsia="Songti TC"/>
        </w:rPr>
        <w:t xml:space="preserve"> 51, no. 8: 1074-1105.</w:t>
      </w:r>
    </w:p>
    <w:p w14:paraId="1218B0C5" w14:textId="77777777" w:rsidR="008E0CD3" w:rsidRPr="0016675C" w:rsidRDefault="008E0CD3" w:rsidP="008E0CD3">
      <w:pPr>
        <w:snapToGrid w:val="0"/>
        <w:ind w:left="720" w:hanging="720"/>
        <w:rPr>
          <w:rFonts w:eastAsia="Songti SC"/>
        </w:rPr>
      </w:pPr>
      <w:r w:rsidRPr="0016675C">
        <w:rPr>
          <w:rFonts w:eastAsia="Songti SC"/>
        </w:rPr>
        <w:t>Lee, Ching Kwan. 201</w:t>
      </w:r>
      <w:r>
        <w:rPr>
          <w:rFonts w:eastAsia="Songti SC"/>
        </w:rPr>
        <w:t>7</w:t>
      </w:r>
      <w:r w:rsidRPr="0016675C">
        <w:rPr>
          <w:rFonts w:eastAsia="Songti SC"/>
        </w:rPr>
        <w:t xml:space="preserve">. </w:t>
      </w:r>
      <w:r w:rsidRPr="0016675C">
        <w:rPr>
          <w:rFonts w:eastAsia="Songti SC"/>
          <w:i/>
        </w:rPr>
        <w:t xml:space="preserve">The Specter of Global China: Politics, Labor, and Foreign Investment in Africa. </w:t>
      </w:r>
      <w:r w:rsidRPr="0016675C">
        <w:rPr>
          <w:rFonts w:eastAsia="Songti SC"/>
        </w:rPr>
        <w:t>Chicago: University of Chicago Press.</w:t>
      </w:r>
    </w:p>
    <w:p w14:paraId="58423D6C" w14:textId="77777777" w:rsidR="008E0CD3" w:rsidRDefault="008E0CD3" w:rsidP="008E0CD3">
      <w:pPr>
        <w:snapToGrid w:val="0"/>
        <w:ind w:left="720" w:hanging="720"/>
        <w:jc w:val="both"/>
        <w:rPr>
          <w:rFonts w:eastAsia="Songti TC"/>
        </w:rPr>
      </w:pPr>
      <w:r w:rsidRPr="00CA3E55">
        <w:rPr>
          <w:rFonts w:eastAsia="Songti TC"/>
        </w:rPr>
        <w:t xml:space="preserve">Leutert, Wendy. 2018. “The Political Mobility of China’s Central State-Owned Enterprise Leaders.” </w:t>
      </w:r>
      <w:r w:rsidRPr="00CA3E55">
        <w:rPr>
          <w:rFonts w:eastAsia="Songti TC"/>
          <w:i/>
        </w:rPr>
        <w:t>The China Quarterly</w:t>
      </w:r>
      <w:r w:rsidRPr="00CA3E55">
        <w:rPr>
          <w:rFonts w:eastAsia="Songti TC"/>
        </w:rPr>
        <w:t xml:space="preserve"> 233: 1-21.</w:t>
      </w:r>
    </w:p>
    <w:p w14:paraId="003B397F" w14:textId="77777777" w:rsidR="008E0CD3" w:rsidRDefault="008E0CD3" w:rsidP="008E0CD3">
      <w:pPr>
        <w:rPr>
          <w:color w:val="4D5156"/>
          <w:shd w:val="clear" w:color="auto" w:fill="FFFFFF"/>
        </w:rPr>
      </w:pPr>
      <w:r w:rsidRPr="00DE4D3D">
        <w:rPr>
          <w:rFonts w:eastAsia="Songti TC"/>
        </w:rPr>
        <w:t xml:space="preserve">Leutert, Wendy. 2020. “State-Owned Enterprises in Contemporary China.” In Luc </w:t>
      </w:r>
      <w:r w:rsidRPr="00D635D4">
        <w:rPr>
          <w:color w:val="4D5156"/>
          <w:shd w:val="clear" w:color="auto" w:fill="FFFFFF"/>
        </w:rPr>
        <w:t>Bernier,</w:t>
      </w:r>
    </w:p>
    <w:p w14:paraId="7B1967C5" w14:textId="77777777" w:rsidR="008E0CD3" w:rsidRDefault="008E0CD3" w:rsidP="008E0CD3">
      <w:pPr>
        <w:ind w:firstLine="720"/>
        <w:rPr>
          <w:rFonts w:eastAsia="Songti TC"/>
        </w:rPr>
      </w:pPr>
      <w:r w:rsidRPr="00D635D4">
        <w:rPr>
          <w:color w:val="4D5156"/>
          <w:shd w:val="clear" w:color="auto" w:fill="FFFFFF"/>
        </w:rPr>
        <w:t xml:space="preserve">Florio Massimo, and Philippe </w:t>
      </w:r>
      <w:proofErr w:type="spellStart"/>
      <w:r w:rsidRPr="00D635D4">
        <w:rPr>
          <w:color w:val="4D5156"/>
          <w:shd w:val="clear" w:color="auto" w:fill="FFFFFF"/>
        </w:rPr>
        <w:t>Bance</w:t>
      </w:r>
      <w:proofErr w:type="spellEnd"/>
      <w:r w:rsidRPr="00D635D4">
        <w:rPr>
          <w:color w:val="4D5156"/>
          <w:shd w:val="clear" w:color="auto" w:fill="FFFFFF"/>
        </w:rPr>
        <w:t>.</w:t>
      </w:r>
      <w:r w:rsidRPr="00DE4D3D">
        <w:t xml:space="preserve"> </w:t>
      </w:r>
      <w:r w:rsidRPr="00DE4D3D">
        <w:rPr>
          <w:rFonts w:eastAsia="Songti TC"/>
          <w:i/>
          <w:iCs/>
        </w:rPr>
        <w:t>Routledge Handbook of State-Owned Enterprises</w:t>
      </w:r>
      <w:r>
        <w:rPr>
          <w:rFonts w:eastAsia="Songti TC"/>
        </w:rPr>
        <w:t>.</w:t>
      </w:r>
    </w:p>
    <w:p w14:paraId="18AED7F9" w14:textId="77777777" w:rsidR="008E0CD3" w:rsidRPr="00D635D4" w:rsidRDefault="008E0CD3" w:rsidP="008E0CD3">
      <w:pPr>
        <w:ind w:firstLine="720"/>
      </w:pPr>
      <w:r>
        <w:rPr>
          <w:rFonts w:eastAsia="Songti TC"/>
        </w:rPr>
        <w:t>New York: Routledge.</w:t>
      </w:r>
    </w:p>
    <w:p w14:paraId="06A0206F" w14:textId="77777777" w:rsidR="008E0CD3" w:rsidRPr="00CA3E55" w:rsidRDefault="008E0CD3" w:rsidP="008E0CD3">
      <w:pPr>
        <w:snapToGrid w:val="0"/>
        <w:ind w:left="720" w:hanging="720"/>
        <w:jc w:val="both"/>
        <w:rPr>
          <w:rFonts w:eastAsia="Songti TC"/>
        </w:rPr>
      </w:pPr>
      <w:r w:rsidRPr="00CA3E55">
        <w:rPr>
          <w:rFonts w:eastAsia="Songti TC"/>
        </w:rPr>
        <w:t xml:space="preserve">Li, Chen. 2016. “Holding ‘China Inc.’ Together: The CCP and the Rise of China’s </w:t>
      </w:r>
      <w:proofErr w:type="spellStart"/>
      <w:r w:rsidRPr="00CA3E55">
        <w:rPr>
          <w:rFonts w:eastAsia="Songti TC"/>
        </w:rPr>
        <w:t>Yangqi</w:t>
      </w:r>
      <w:proofErr w:type="spellEnd"/>
      <w:r w:rsidRPr="00CA3E55">
        <w:rPr>
          <w:rFonts w:eastAsia="Songti TC"/>
        </w:rPr>
        <w:t xml:space="preserve">.” </w:t>
      </w:r>
      <w:r w:rsidRPr="00CA3E55">
        <w:rPr>
          <w:rFonts w:eastAsia="Songti TC"/>
          <w:i/>
        </w:rPr>
        <w:t xml:space="preserve">The China Quarterly </w:t>
      </w:r>
      <w:r w:rsidRPr="00CA3E55">
        <w:rPr>
          <w:rFonts w:eastAsia="Songti TC"/>
        </w:rPr>
        <w:t>288: 927–949.</w:t>
      </w:r>
    </w:p>
    <w:p w14:paraId="480905E9" w14:textId="77777777" w:rsidR="008E0CD3" w:rsidRPr="00CA3E55" w:rsidRDefault="008E0CD3" w:rsidP="008E0CD3">
      <w:pPr>
        <w:snapToGrid w:val="0"/>
        <w:ind w:left="720" w:hanging="720"/>
        <w:jc w:val="both"/>
        <w:rPr>
          <w:rFonts w:eastAsia="Songti TC"/>
        </w:rPr>
      </w:pPr>
      <w:bookmarkStart w:id="6" w:name="_Hlk9326289"/>
      <w:r w:rsidRPr="00CA3E55">
        <w:rPr>
          <w:rFonts w:eastAsia="Songti TC"/>
        </w:rPr>
        <w:t>Li, Hongbin, and Li-</w:t>
      </w:r>
      <w:proofErr w:type="gramStart"/>
      <w:r w:rsidRPr="00CA3E55">
        <w:rPr>
          <w:rFonts w:eastAsia="Songti TC"/>
        </w:rPr>
        <w:t>An</w:t>
      </w:r>
      <w:proofErr w:type="gramEnd"/>
      <w:r w:rsidRPr="00CA3E55">
        <w:rPr>
          <w:rFonts w:eastAsia="Songti TC"/>
        </w:rPr>
        <w:t xml:space="preserve"> Zhou. 2005. “Political Turnover and Economic Performance: The Incentive Role of Personnel Control in China.” </w:t>
      </w:r>
      <w:r w:rsidRPr="00CA3E55">
        <w:rPr>
          <w:rFonts w:eastAsia="Songti TC"/>
          <w:i/>
        </w:rPr>
        <w:t>Journal of Public Economics</w:t>
      </w:r>
      <w:r w:rsidRPr="00CA3E55">
        <w:rPr>
          <w:rFonts w:eastAsia="Songti TC"/>
        </w:rPr>
        <w:t xml:space="preserve"> 89: 1743-62. </w:t>
      </w:r>
    </w:p>
    <w:bookmarkEnd w:id="6"/>
    <w:p w14:paraId="1D348F58" w14:textId="77777777" w:rsidR="008E0CD3" w:rsidRPr="00674E41" w:rsidRDefault="008E0CD3" w:rsidP="008E0CD3">
      <w:pPr>
        <w:snapToGrid w:val="0"/>
        <w:ind w:left="720" w:hanging="720"/>
        <w:rPr>
          <w:rFonts w:eastAsia="Songti SC"/>
        </w:rPr>
      </w:pPr>
      <w:r w:rsidRPr="00674E41">
        <w:rPr>
          <w:rFonts w:eastAsia="Songti SC"/>
        </w:rPr>
        <w:t xml:space="preserve">Li, </w:t>
      </w:r>
      <w:proofErr w:type="spellStart"/>
      <w:r w:rsidRPr="00674E41">
        <w:rPr>
          <w:rFonts w:eastAsia="Songti SC"/>
        </w:rPr>
        <w:t>Lianjiang</w:t>
      </w:r>
      <w:proofErr w:type="spellEnd"/>
      <w:r w:rsidRPr="00674E41">
        <w:rPr>
          <w:rFonts w:eastAsia="Songti SC"/>
        </w:rPr>
        <w:t>. 2019. “The Cadre Resignation Tide in the Wake of the 18</w:t>
      </w:r>
      <w:r w:rsidRPr="00674E41">
        <w:rPr>
          <w:rFonts w:eastAsia="Songti SC"/>
          <w:vertAlign w:val="superscript"/>
        </w:rPr>
        <w:t>th</w:t>
      </w:r>
      <w:r w:rsidRPr="00674E41">
        <w:rPr>
          <w:rFonts w:eastAsia="Songti SC"/>
        </w:rPr>
        <w:t xml:space="preserve"> Party Congress.” </w:t>
      </w:r>
      <w:r w:rsidRPr="00674E41">
        <w:rPr>
          <w:rFonts w:eastAsia="Songti SC"/>
          <w:i/>
        </w:rPr>
        <w:t>China: An International Journal</w:t>
      </w:r>
      <w:r w:rsidRPr="00674E41">
        <w:rPr>
          <w:rFonts w:eastAsia="Songti SC"/>
        </w:rPr>
        <w:t xml:space="preserve"> 17, no. 3: 188-199.</w:t>
      </w:r>
    </w:p>
    <w:p w14:paraId="046BD254" w14:textId="77777777" w:rsidR="008E0CD3" w:rsidRPr="00CA3E55" w:rsidRDefault="008E0CD3" w:rsidP="008E0CD3">
      <w:pPr>
        <w:snapToGrid w:val="0"/>
        <w:ind w:left="720" w:hanging="720"/>
        <w:jc w:val="both"/>
        <w:rPr>
          <w:rFonts w:eastAsia="Songti TC"/>
        </w:rPr>
      </w:pPr>
      <w:r w:rsidRPr="00CA3E55">
        <w:rPr>
          <w:rFonts w:eastAsia="Songti TC"/>
        </w:rPr>
        <w:t xml:space="preserve">Lin, Li-Wen. 2017. “Reforming China’s State-Owned Enterprises: From Structure to People.” </w:t>
      </w:r>
      <w:r w:rsidRPr="00CA3E55">
        <w:rPr>
          <w:rFonts w:eastAsia="Songti TC"/>
          <w:i/>
        </w:rPr>
        <w:t>The China Quarterly</w:t>
      </w:r>
      <w:r w:rsidRPr="00CA3E55">
        <w:rPr>
          <w:rFonts w:eastAsia="Songti TC"/>
        </w:rPr>
        <w:t xml:space="preserve"> 229: 107-129. </w:t>
      </w:r>
    </w:p>
    <w:p w14:paraId="37708C33" w14:textId="77777777" w:rsidR="008E0CD3" w:rsidRPr="00CA3E55" w:rsidRDefault="008E0CD3" w:rsidP="008E0CD3">
      <w:pPr>
        <w:snapToGrid w:val="0"/>
        <w:ind w:left="720" w:hanging="720"/>
        <w:jc w:val="both"/>
        <w:rPr>
          <w:rFonts w:eastAsia="Songti TC"/>
        </w:rPr>
      </w:pPr>
      <w:r w:rsidRPr="00CA3E55">
        <w:rPr>
          <w:rFonts w:eastAsia="Songti TC"/>
          <w:shd w:val="clear" w:color="auto" w:fill="FFFFFF"/>
        </w:rPr>
        <w:t>Lin, Li-Wen, and Curtis J. Milhaupt. 2013. “We Are the (National) Champions: Understanding the Mechanisms of State Capitalism in China.”</w:t>
      </w:r>
      <w:r w:rsidRPr="00CA3E55">
        <w:rPr>
          <w:rFonts w:eastAsia="Songti TC"/>
          <w:iCs/>
          <w:shd w:val="clear" w:color="auto" w:fill="FFFFFF"/>
        </w:rPr>
        <w:t xml:space="preserve"> </w:t>
      </w:r>
      <w:r w:rsidRPr="00CA3E55">
        <w:rPr>
          <w:rFonts w:eastAsia="Songti TC"/>
          <w:i/>
          <w:iCs/>
          <w:shd w:val="clear" w:color="auto" w:fill="FFFFFF"/>
        </w:rPr>
        <w:t>Stanford Law Review</w:t>
      </w:r>
      <w:r w:rsidRPr="00CA3E55">
        <w:rPr>
          <w:rFonts w:eastAsia="Songti TC"/>
          <w:shd w:val="clear" w:color="auto" w:fill="FFFFFF"/>
        </w:rPr>
        <w:t> 65: 697-759.</w:t>
      </w:r>
    </w:p>
    <w:p w14:paraId="73BF5664" w14:textId="77777777" w:rsidR="008E0CD3" w:rsidRPr="00CA3E55" w:rsidRDefault="008E0CD3" w:rsidP="008E0CD3">
      <w:pPr>
        <w:snapToGrid w:val="0"/>
        <w:ind w:left="720" w:hanging="720"/>
        <w:jc w:val="both"/>
        <w:rPr>
          <w:rFonts w:eastAsia="Songti TC"/>
        </w:rPr>
      </w:pPr>
      <w:proofErr w:type="spellStart"/>
      <w:r w:rsidRPr="00CA3E55">
        <w:rPr>
          <w:rFonts w:eastAsia="Songti TC"/>
          <w:shd w:val="clear" w:color="auto" w:fill="FFFFFF"/>
        </w:rPr>
        <w:t>Liou</w:t>
      </w:r>
      <w:proofErr w:type="spellEnd"/>
      <w:r w:rsidRPr="00CA3E55">
        <w:rPr>
          <w:rFonts w:eastAsia="Songti TC"/>
          <w:shd w:val="clear" w:color="auto" w:fill="FFFFFF"/>
        </w:rPr>
        <w:t xml:space="preserve">, </w:t>
      </w:r>
      <w:proofErr w:type="spellStart"/>
      <w:r w:rsidRPr="00CA3E55">
        <w:rPr>
          <w:rFonts w:eastAsia="Songti TC"/>
          <w:shd w:val="clear" w:color="auto" w:fill="FFFFFF"/>
        </w:rPr>
        <w:t>Chih-shian</w:t>
      </w:r>
      <w:proofErr w:type="spellEnd"/>
      <w:r w:rsidRPr="00CA3E55">
        <w:rPr>
          <w:rFonts w:eastAsia="Songti TC"/>
          <w:shd w:val="clear" w:color="auto" w:fill="FFFFFF"/>
        </w:rPr>
        <w:t xml:space="preserve">, and Chung-min Tsai. 2017. “The Dual Role of Cadres and Entrepreneurs in China: The Evolution of Managerial Leadership in State-Monopolized Industries.” </w:t>
      </w:r>
      <w:r w:rsidRPr="00CA3E55">
        <w:rPr>
          <w:rFonts w:eastAsia="Songti TC"/>
          <w:i/>
          <w:iCs/>
          <w:shd w:val="clear" w:color="auto" w:fill="FFFFFF"/>
        </w:rPr>
        <w:t>Asian Survey</w:t>
      </w:r>
      <w:r w:rsidRPr="00CA3E55">
        <w:rPr>
          <w:rFonts w:eastAsia="Songti TC"/>
          <w:shd w:val="clear" w:color="auto" w:fill="FFFFFF"/>
        </w:rPr>
        <w:t> 57, no. 6: 1058-1085.</w:t>
      </w:r>
    </w:p>
    <w:p w14:paraId="0E6240AE" w14:textId="77777777" w:rsidR="008E0CD3" w:rsidRPr="00CA3E55" w:rsidRDefault="008E0CD3" w:rsidP="008E0CD3">
      <w:pPr>
        <w:snapToGrid w:val="0"/>
        <w:ind w:left="720" w:hanging="720"/>
        <w:jc w:val="both"/>
        <w:rPr>
          <w:rFonts w:eastAsia="Songti TC"/>
        </w:rPr>
      </w:pPr>
      <w:proofErr w:type="spellStart"/>
      <w:r w:rsidRPr="00CA3E55">
        <w:rPr>
          <w:rFonts w:eastAsia="Songti TC"/>
          <w:shd w:val="clear" w:color="auto" w:fill="FFFFFF"/>
        </w:rPr>
        <w:t>Maskin</w:t>
      </w:r>
      <w:proofErr w:type="spellEnd"/>
      <w:r w:rsidRPr="00CA3E55">
        <w:rPr>
          <w:rFonts w:eastAsia="Songti TC"/>
          <w:shd w:val="clear" w:color="auto" w:fill="FFFFFF"/>
        </w:rPr>
        <w:t xml:space="preserve">, Eric, </w:t>
      </w:r>
      <w:proofErr w:type="spellStart"/>
      <w:r w:rsidRPr="00CA3E55">
        <w:rPr>
          <w:rFonts w:eastAsia="Songti TC"/>
          <w:shd w:val="clear" w:color="auto" w:fill="FFFFFF"/>
        </w:rPr>
        <w:t>Yingyi</w:t>
      </w:r>
      <w:proofErr w:type="spellEnd"/>
      <w:r w:rsidRPr="00CA3E55">
        <w:rPr>
          <w:rFonts w:eastAsia="Songti TC"/>
          <w:shd w:val="clear" w:color="auto" w:fill="FFFFFF"/>
        </w:rPr>
        <w:t xml:space="preserve"> Qian, and Chenggang Xu. 2000. “Incentives, Information, and Organizational Form.” </w:t>
      </w:r>
      <w:r w:rsidRPr="00CA3E55">
        <w:rPr>
          <w:rFonts w:eastAsia="Songti TC"/>
          <w:i/>
          <w:iCs/>
          <w:shd w:val="clear" w:color="auto" w:fill="FFFFFF"/>
        </w:rPr>
        <w:t>The Review of Economic Studies</w:t>
      </w:r>
      <w:r w:rsidRPr="00CA3E55">
        <w:rPr>
          <w:rFonts w:eastAsia="Songti TC"/>
          <w:shd w:val="clear" w:color="auto" w:fill="FFFFFF"/>
        </w:rPr>
        <w:t> 67, no. 2: 359-378.</w:t>
      </w:r>
    </w:p>
    <w:p w14:paraId="6A57FA8C" w14:textId="77777777" w:rsidR="008E0CD3" w:rsidRPr="00CA3E55" w:rsidRDefault="008E0CD3" w:rsidP="008E0CD3">
      <w:pPr>
        <w:snapToGrid w:val="0"/>
        <w:ind w:left="720" w:hanging="720"/>
        <w:jc w:val="both"/>
        <w:rPr>
          <w:rFonts w:eastAsia="Songti TC"/>
          <w:shd w:val="clear" w:color="auto" w:fill="FFFFFF"/>
        </w:rPr>
      </w:pPr>
      <w:r w:rsidRPr="00CA3E55">
        <w:rPr>
          <w:rFonts w:eastAsia="Songti TC"/>
          <w:shd w:val="clear" w:color="auto" w:fill="FFFFFF"/>
        </w:rPr>
        <w:t xml:space="preserve">Meyer, David, Victor C. Shih, and </w:t>
      </w:r>
      <w:proofErr w:type="spellStart"/>
      <w:r w:rsidRPr="00CA3E55">
        <w:rPr>
          <w:rFonts w:eastAsia="Songti TC"/>
          <w:shd w:val="clear" w:color="auto" w:fill="FFFFFF"/>
        </w:rPr>
        <w:t>Jonghyuk</w:t>
      </w:r>
      <w:proofErr w:type="spellEnd"/>
      <w:r w:rsidRPr="00CA3E55">
        <w:rPr>
          <w:rFonts w:eastAsia="Songti TC"/>
          <w:shd w:val="clear" w:color="auto" w:fill="FFFFFF"/>
        </w:rPr>
        <w:t xml:space="preserve"> Lee. 2016. “Factions of Different Stripes: Gauging the Recruitment Logics of Factions in the Reform Period.” </w:t>
      </w:r>
      <w:r w:rsidRPr="00CA3E55">
        <w:rPr>
          <w:rFonts w:eastAsia="Songti TC"/>
          <w:i/>
          <w:iCs/>
          <w:shd w:val="clear" w:color="auto" w:fill="FFFFFF"/>
        </w:rPr>
        <w:t>Journal of East Asian Studies</w:t>
      </w:r>
      <w:r w:rsidRPr="00CA3E55">
        <w:rPr>
          <w:rFonts w:eastAsia="Songti TC"/>
          <w:shd w:val="clear" w:color="auto" w:fill="FFFFFF"/>
        </w:rPr>
        <w:t> 16, no. 1: 43-60.</w:t>
      </w:r>
    </w:p>
    <w:p w14:paraId="4C33B48F" w14:textId="77777777" w:rsidR="008E0CD3" w:rsidRPr="00CA3E55" w:rsidRDefault="008E0CD3" w:rsidP="008E0CD3">
      <w:pPr>
        <w:ind w:left="720" w:hanging="720"/>
        <w:rPr>
          <w:shd w:val="clear" w:color="auto" w:fill="FFFFFF"/>
        </w:rPr>
      </w:pPr>
      <w:r w:rsidRPr="00CA3E55">
        <w:rPr>
          <w:rFonts w:eastAsia="Songti TC"/>
        </w:rPr>
        <w:t xml:space="preserve">Meyer, </w:t>
      </w:r>
      <w:r w:rsidRPr="00CA3E55">
        <w:rPr>
          <w:shd w:val="clear" w:color="auto" w:fill="FFFFFF"/>
        </w:rPr>
        <w:t>Klaus E., Yuan Ding, Jing Li, and Hua Zhang. 2018. “Overcoming Distrust: How State-Owned Enterprises Adapt their Foreign Entries to Institutional Pressures Abroad,” 211-251. In Alvaro Cuervo-</w:t>
      </w:r>
      <w:proofErr w:type="spellStart"/>
      <w:r w:rsidRPr="00CA3E55">
        <w:rPr>
          <w:shd w:val="clear" w:color="auto" w:fill="FFFFFF"/>
        </w:rPr>
        <w:t>Cazurra</w:t>
      </w:r>
      <w:proofErr w:type="spellEnd"/>
      <w:r w:rsidRPr="00CA3E55">
        <w:rPr>
          <w:shd w:val="clear" w:color="auto" w:fill="FFFFFF"/>
        </w:rPr>
        <w:t>. Cham, ed.,</w:t>
      </w:r>
      <w:r w:rsidRPr="00CA3E55">
        <w:rPr>
          <w:i/>
          <w:iCs/>
          <w:shd w:val="clear" w:color="auto" w:fill="FFFFFF"/>
        </w:rPr>
        <w:t xml:space="preserve"> State-Owned Multinationals</w:t>
      </w:r>
      <w:r w:rsidRPr="00CA3E55">
        <w:rPr>
          <w:i/>
          <w:shd w:val="clear" w:color="auto" w:fill="FFFFFF"/>
        </w:rPr>
        <w:t>: Governments in Global Business</w:t>
      </w:r>
      <w:r w:rsidRPr="00CA3E55">
        <w:rPr>
          <w:shd w:val="clear" w:color="auto" w:fill="FFFFFF"/>
        </w:rPr>
        <w:t>, Switzerland: Palgrave Macmillan.</w:t>
      </w:r>
    </w:p>
    <w:p w14:paraId="76A2BAC5" w14:textId="77777777" w:rsidR="008E0CD3" w:rsidRPr="00CA3E55" w:rsidRDefault="008E0CD3" w:rsidP="008E0CD3">
      <w:pPr>
        <w:ind w:left="720" w:hanging="720"/>
        <w:rPr>
          <w:shd w:val="clear" w:color="auto" w:fill="FFFFFF"/>
        </w:rPr>
      </w:pPr>
      <w:r w:rsidRPr="00CA3E55">
        <w:rPr>
          <w:shd w:val="clear" w:color="auto" w:fill="FFFFFF"/>
        </w:rPr>
        <w:t xml:space="preserve">Ministry of Finance. 2017. </w:t>
      </w:r>
      <w:proofErr w:type="spellStart"/>
      <w:r w:rsidRPr="00CA3E55">
        <w:rPr>
          <w:i/>
          <w:shd w:val="clear" w:color="auto" w:fill="FFFFFF"/>
        </w:rPr>
        <w:t>Zhongguo</w:t>
      </w:r>
      <w:proofErr w:type="spellEnd"/>
      <w:r w:rsidRPr="00CA3E55">
        <w:rPr>
          <w:i/>
          <w:shd w:val="clear" w:color="auto" w:fill="FFFFFF"/>
        </w:rPr>
        <w:t xml:space="preserve"> </w:t>
      </w:r>
      <w:proofErr w:type="spellStart"/>
      <w:r w:rsidRPr="00CA3E55">
        <w:rPr>
          <w:i/>
          <w:shd w:val="clear" w:color="auto" w:fill="FFFFFF"/>
        </w:rPr>
        <w:t>caizheng</w:t>
      </w:r>
      <w:proofErr w:type="spellEnd"/>
      <w:r w:rsidRPr="00CA3E55">
        <w:rPr>
          <w:i/>
          <w:shd w:val="clear" w:color="auto" w:fill="FFFFFF"/>
        </w:rPr>
        <w:t xml:space="preserve"> </w:t>
      </w:r>
      <w:proofErr w:type="spellStart"/>
      <w:r w:rsidRPr="00CA3E55">
        <w:rPr>
          <w:i/>
          <w:shd w:val="clear" w:color="auto" w:fill="FFFFFF"/>
        </w:rPr>
        <w:t>nianjian</w:t>
      </w:r>
      <w:proofErr w:type="spellEnd"/>
      <w:r w:rsidRPr="00CA3E55">
        <w:rPr>
          <w:i/>
          <w:shd w:val="clear" w:color="auto" w:fill="FFFFFF"/>
        </w:rPr>
        <w:t xml:space="preserve"> </w:t>
      </w:r>
      <w:r w:rsidRPr="00CA3E55">
        <w:rPr>
          <w:shd w:val="clear" w:color="auto" w:fill="FFFFFF"/>
        </w:rPr>
        <w:t>[China Financial Yearbook].</w:t>
      </w:r>
    </w:p>
    <w:p w14:paraId="5BE41C30" w14:textId="77777777" w:rsidR="008E0CD3" w:rsidRPr="00CA3E55" w:rsidRDefault="008E0CD3" w:rsidP="008E0CD3">
      <w:pPr>
        <w:snapToGrid w:val="0"/>
        <w:ind w:left="720" w:hanging="720"/>
        <w:jc w:val="both"/>
        <w:rPr>
          <w:rFonts w:eastAsia="Songti TC"/>
        </w:rPr>
      </w:pPr>
      <w:r w:rsidRPr="00CA3E55">
        <w:rPr>
          <w:rFonts w:eastAsia="Songti TC"/>
        </w:rPr>
        <w:lastRenderedPageBreak/>
        <w:t>OECD. 2013. “Boards of Directors of State-Owned Enterprises: An Overview of National Practices.” Paris: OECD.</w:t>
      </w:r>
    </w:p>
    <w:p w14:paraId="591A4AC2" w14:textId="77777777" w:rsidR="008E0CD3" w:rsidRPr="00CA3E55" w:rsidRDefault="008E0CD3" w:rsidP="008E0CD3">
      <w:pPr>
        <w:snapToGrid w:val="0"/>
        <w:ind w:left="720" w:hanging="720"/>
        <w:jc w:val="both"/>
      </w:pPr>
      <w:r w:rsidRPr="00CA3E55">
        <w:rPr>
          <w:shd w:val="clear" w:color="auto" w:fill="FFFFFF"/>
        </w:rPr>
        <w:t>OECD. 2017. “</w:t>
      </w:r>
      <w:r w:rsidRPr="00CA3E55">
        <w:rPr>
          <w:iCs/>
          <w:shd w:val="clear" w:color="auto" w:fill="FFFFFF"/>
        </w:rPr>
        <w:t>The Size and Sectoral Distribution of State-Owned Enterprises</w:t>
      </w:r>
      <w:r w:rsidRPr="00CA3E55">
        <w:rPr>
          <w:shd w:val="clear" w:color="auto" w:fill="FFFFFF"/>
        </w:rPr>
        <w:t>.” Paris: OECD.</w:t>
      </w:r>
    </w:p>
    <w:p w14:paraId="60B2CED7" w14:textId="77777777" w:rsidR="008E0CD3" w:rsidRPr="00CA3E55" w:rsidRDefault="008E0CD3" w:rsidP="008E0CD3">
      <w:pPr>
        <w:pStyle w:val="NormalWeb"/>
        <w:snapToGrid w:val="0"/>
        <w:spacing w:before="0" w:beforeAutospacing="0" w:after="0" w:afterAutospacing="0"/>
        <w:ind w:left="720" w:hanging="720"/>
        <w:jc w:val="both"/>
        <w:rPr>
          <w:rFonts w:eastAsia="Songti TC"/>
        </w:rPr>
      </w:pPr>
      <w:r w:rsidRPr="00CA3E55">
        <w:rPr>
          <w:rFonts w:eastAsia="Songti TC"/>
        </w:rPr>
        <w:t xml:space="preserve">Rhodium Group. 2018. The China Dashboard, https://aspi.gistapp.com/china-dashboard/. </w:t>
      </w:r>
    </w:p>
    <w:p w14:paraId="46B5EA31" w14:textId="77777777" w:rsidR="008E0CD3" w:rsidRPr="00CA3E55" w:rsidRDefault="008E0CD3" w:rsidP="008E0CD3">
      <w:pPr>
        <w:snapToGrid w:val="0"/>
        <w:ind w:left="720" w:hanging="720"/>
        <w:jc w:val="both"/>
        <w:rPr>
          <w:rFonts w:eastAsia="Songti TC"/>
        </w:rPr>
      </w:pPr>
      <w:r w:rsidRPr="00CA3E55">
        <w:rPr>
          <w:rFonts w:eastAsia="Songti TC"/>
        </w:rPr>
        <w:t xml:space="preserve">Rosen, Daniel H., Wendy Leutert and Shan Guo. 2018. </w:t>
      </w:r>
      <w:r w:rsidRPr="00CA3E55">
        <w:rPr>
          <w:rFonts w:eastAsia="Songti TC"/>
          <w:i/>
        </w:rPr>
        <w:t>Missing Link: Corporate Governance in China’s State Sector</w:t>
      </w:r>
      <w:r w:rsidRPr="00CA3E55">
        <w:rPr>
          <w:rFonts w:eastAsia="Songti TC"/>
        </w:rPr>
        <w:t xml:space="preserve">. San Francisco: Asia Society. </w:t>
      </w:r>
    </w:p>
    <w:p w14:paraId="4BE63CB5" w14:textId="77777777" w:rsidR="008E0CD3" w:rsidRPr="00CA3E55" w:rsidRDefault="008E0CD3" w:rsidP="008E0CD3">
      <w:pPr>
        <w:snapToGrid w:val="0"/>
        <w:ind w:left="720" w:hanging="720"/>
        <w:jc w:val="both"/>
        <w:rPr>
          <w:rFonts w:eastAsia="Songti TC"/>
        </w:rPr>
      </w:pPr>
      <w:r w:rsidRPr="00CA3E55">
        <w:rPr>
          <w:rFonts w:eastAsia="Songti TC"/>
        </w:rPr>
        <w:t xml:space="preserve">Schoenherr, David. 2019. “Political Connections and Allocative Distortions.” </w:t>
      </w:r>
      <w:r w:rsidRPr="00CA3E55">
        <w:rPr>
          <w:rFonts w:eastAsia="Songti TC"/>
          <w:i/>
        </w:rPr>
        <w:t>Journal of Finance</w:t>
      </w:r>
      <w:r w:rsidRPr="00CA3E55">
        <w:rPr>
          <w:rFonts w:eastAsia="Songti TC"/>
        </w:rPr>
        <w:t xml:space="preserve"> 74, no. 2: 543-586. </w:t>
      </w:r>
    </w:p>
    <w:p w14:paraId="5AB3BC9A" w14:textId="77777777" w:rsidR="008E0CD3" w:rsidRPr="00CA3E55" w:rsidRDefault="008E0CD3" w:rsidP="008E0CD3">
      <w:pPr>
        <w:snapToGrid w:val="0"/>
        <w:ind w:left="720" w:hanging="720"/>
        <w:jc w:val="both"/>
        <w:rPr>
          <w:rFonts w:eastAsia="Songti TC"/>
        </w:rPr>
      </w:pPr>
      <w:r w:rsidRPr="00CA3E55">
        <w:rPr>
          <w:rFonts w:eastAsia="Songti TC"/>
        </w:rPr>
        <w:t>Scissors, Derek. 2017. “Chinese Investment: Revenge of the State.” Washington DC: American Enterprise Institute.</w:t>
      </w:r>
    </w:p>
    <w:p w14:paraId="3C573969" w14:textId="77777777" w:rsidR="008E0CD3" w:rsidRPr="00CA3E55" w:rsidRDefault="008E0CD3" w:rsidP="008E0CD3">
      <w:pPr>
        <w:snapToGrid w:val="0"/>
        <w:ind w:left="720" w:hanging="720"/>
        <w:jc w:val="both"/>
        <w:rPr>
          <w:rFonts w:eastAsia="Songti TC"/>
        </w:rPr>
      </w:pPr>
      <w:bookmarkStart w:id="7" w:name="_Hlk9326332"/>
      <w:r w:rsidRPr="00CA3E55">
        <w:rPr>
          <w:rFonts w:eastAsia="Songti TC"/>
        </w:rPr>
        <w:t xml:space="preserve">Shih, Victor C., Christopher Adolph and </w:t>
      </w:r>
      <w:proofErr w:type="spellStart"/>
      <w:r w:rsidRPr="00CA3E55">
        <w:rPr>
          <w:rFonts w:eastAsia="Songti TC"/>
        </w:rPr>
        <w:t>Mingxing</w:t>
      </w:r>
      <w:proofErr w:type="spellEnd"/>
      <w:r w:rsidRPr="00CA3E55">
        <w:rPr>
          <w:rFonts w:eastAsia="Songti TC"/>
        </w:rPr>
        <w:t xml:space="preserve"> Liu. 2012. “Getting Ahead in the Communist Party: Explaining the Advancement of Central Committee Members in China.” </w:t>
      </w:r>
      <w:r w:rsidRPr="00CA3E55">
        <w:rPr>
          <w:rFonts w:eastAsia="Songti TC"/>
          <w:i/>
        </w:rPr>
        <w:t>American Political Science Review</w:t>
      </w:r>
      <w:r w:rsidRPr="00CA3E55">
        <w:rPr>
          <w:rFonts w:eastAsia="Songti TC"/>
        </w:rPr>
        <w:t xml:space="preserve"> 106, no. 1: 166-187.</w:t>
      </w:r>
    </w:p>
    <w:bookmarkEnd w:id="7"/>
    <w:p w14:paraId="79424656" w14:textId="77777777" w:rsidR="008E0CD3" w:rsidRPr="00CA3E55" w:rsidRDefault="008E0CD3" w:rsidP="008E0CD3">
      <w:pPr>
        <w:snapToGrid w:val="0"/>
        <w:ind w:left="720" w:hanging="720"/>
        <w:jc w:val="both"/>
        <w:rPr>
          <w:rFonts w:eastAsia="Songti TC"/>
        </w:rPr>
      </w:pPr>
      <w:r w:rsidRPr="00CA3E55">
        <w:rPr>
          <w:rFonts w:eastAsia="Songti TC"/>
          <w:lang w:val="en"/>
        </w:rPr>
        <w:t>State-owned Assets Supervision and Administration Commission</w:t>
      </w:r>
      <w:r>
        <w:rPr>
          <w:rFonts w:eastAsia="Songti TC"/>
          <w:lang w:val="en"/>
        </w:rPr>
        <w:t xml:space="preserve"> (SASAC)</w:t>
      </w:r>
      <w:r w:rsidRPr="00CA3E55">
        <w:rPr>
          <w:rFonts w:eastAsia="Songti TC"/>
          <w:lang w:val="en"/>
        </w:rPr>
        <w:t xml:space="preserve">. 2003. </w:t>
      </w:r>
      <w:r w:rsidRPr="00CA3E55">
        <w:rPr>
          <w:rFonts w:eastAsia="Songti TC"/>
          <w:i/>
          <w:lang w:val="en"/>
        </w:rPr>
        <w:t xml:space="preserve">Zhongyang </w:t>
      </w:r>
      <w:proofErr w:type="spellStart"/>
      <w:r w:rsidRPr="00CA3E55">
        <w:rPr>
          <w:rFonts w:eastAsia="Songti TC"/>
          <w:i/>
          <w:lang w:val="en"/>
        </w:rPr>
        <w:t>qiye</w:t>
      </w:r>
      <w:proofErr w:type="spellEnd"/>
      <w:r w:rsidRPr="00CA3E55">
        <w:rPr>
          <w:rFonts w:eastAsia="Songti TC"/>
          <w:i/>
          <w:lang w:val="en"/>
        </w:rPr>
        <w:t xml:space="preserve"> </w:t>
      </w:r>
      <w:proofErr w:type="spellStart"/>
      <w:r w:rsidRPr="00CA3E55">
        <w:rPr>
          <w:rFonts w:eastAsia="Songti TC"/>
          <w:i/>
          <w:lang w:val="en"/>
        </w:rPr>
        <w:t>jingying</w:t>
      </w:r>
      <w:proofErr w:type="spellEnd"/>
      <w:r w:rsidRPr="00CA3E55">
        <w:rPr>
          <w:rFonts w:eastAsia="Songti TC"/>
          <w:i/>
          <w:lang w:val="en"/>
        </w:rPr>
        <w:t xml:space="preserve"> </w:t>
      </w:r>
      <w:proofErr w:type="spellStart"/>
      <w:r w:rsidRPr="00CA3E55">
        <w:rPr>
          <w:rFonts w:eastAsia="Songti TC"/>
          <w:i/>
          <w:lang w:val="en"/>
        </w:rPr>
        <w:t>yeji</w:t>
      </w:r>
      <w:proofErr w:type="spellEnd"/>
      <w:r w:rsidRPr="00CA3E55">
        <w:rPr>
          <w:rFonts w:eastAsia="Songti TC"/>
          <w:i/>
          <w:lang w:val="en"/>
        </w:rPr>
        <w:t xml:space="preserve"> </w:t>
      </w:r>
      <w:proofErr w:type="spellStart"/>
      <w:r w:rsidRPr="00CA3E55">
        <w:rPr>
          <w:rFonts w:eastAsia="Songti TC"/>
          <w:i/>
          <w:lang w:val="en"/>
        </w:rPr>
        <w:t>kaohe</w:t>
      </w:r>
      <w:proofErr w:type="spellEnd"/>
      <w:r w:rsidRPr="00CA3E55">
        <w:rPr>
          <w:rFonts w:eastAsia="Songti TC"/>
          <w:i/>
          <w:lang w:val="en"/>
        </w:rPr>
        <w:t xml:space="preserve"> </w:t>
      </w:r>
      <w:proofErr w:type="spellStart"/>
      <w:r w:rsidRPr="00CA3E55">
        <w:rPr>
          <w:rFonts w:eastAsia="Songti TC"/>
          <w:i/>
          <w:lang w:val="en"/>
        </w:rPr>
        <w:t>zanxing</w:t>
      </w:r>
      <w:proofErr w:type="spellEnd"/>
      <w:r w:rsidRPr="00CA3E55">
        <w:rPr>
          <w:rFonts w:eastAsia="Songti TC"/>
          <w:i/>
          <w:lang w:val="en"/>
        </w:rPr>
        <w:t xml:space="preserve"> </w:t>
      </w:r>
      <w:proofErr w:type="spellStart"/>
      <w:r w:rsidRPr="00CA3E55">
        <w:rPr>
          <w:rFonts w:eastAsia="Songti TC"/>
          <w:i/>
          <w:lang w:val="en"/>
        </w:rPr>
        <w:t>banfa</w:t>
      </w:r>
      <w:proofErr w:type="spellEnd"/>
      <w:r w:rsidRPr="00CA3E55">
        <w:rPr>
          <w:rFonts w:eastAsia="Songti TC"/>
          <w:i/>
          <w:lang w:val="en"/>
        </w:rPr>
        <w:t xml:space="preserve"> </w:t>
      </w:r>
      <w:proofErr w:type="spellStart"/>
      <w:r w:rsidRPr="00CA3E55">
        <w:rPr>
          <w:rFonts w:eastAsia="Songti TC"/>
          <w:i/>
          <w:lang w:val="en"/>
        </w:rPr>
        <w:t>fudao</w:t>
      </w:r>
      <w:proofErr w:type="spellEnd"/>
      <w:r w:rsidRPr="00CA3E55">
        <w:rPr>
          <w:rFonts w:eastAsia="Songti TC"/>
          <w:i/>
          <w:lang w:val="en"/>
        </w:rPr>
        <w:t xml:space="preserve"> </w:t>
      </w:r>
      <w:proofErr w:type="spellStart"/>
      <w:r w:rsidRPr="00CA3E55">
        <w:rPr>
          <w:rFonts w:eastAsia="Songti TC"/>
          <w:i/>
          <w:lang w:val="en"/>
        </w:rPr>
        <w:t>jiangzuo</w:t>
      </w:r>
      <w:proofErr w:type="spellEnd"/>
      <w:r w:rsidRPr="00CA3E55">
        <w:rPr>
          <w:rFonts w:eastAsia="Songti TC"/>
        </w:rPr>
        <w:t xml:space="preserve"> [Guiding Lectures on </w:t>
      </w:r>
      <w:r w:rsidRPr="00CA3E55">
        <w:rPr>
          <w:rFonts w:eastAsia="Songti TC"/>
          <w:lang w:val="en"/>
        </w:rPr>
        <w:t>Temporary Measures for Performance Evaluation of Central Enterprises</w:t>
      </w:r>
      <w:r w:rsidRPr="00CA3E55">
        <w:rPr>
          <w:rFonts w:eastAsia="Songti TC"/>
        </w:rPr>
        <w:t xml:space="preserve">]. Beijing: </w:t>
      </w:r>
      <w:proofErr w:type="spellStart"/>
      <w:r w:rsidRPr="00CA3E55">
        <w:rPr>
          <w:rFonts w:eastAsia="Songti TC"/>
          <w:i/>
        </w:rPr>
        <w:t>Jingji</w:t>
      </w:r>
      <w:proofErr w:type="spellEnd"/>
      <w:r w:rsidRPr="00CA3E55">
        <w:rPr>
          <w:rFonts w:eastAsia="Songti TC"/>
          <w:i/>
        </w:rPr>
        <w:t xml:space="preserve"> </w:t>
      </w:r>
      <w:proofErr w:type="spellStart"/>
      <w:r w:rsidRPr="00CA3E55">
        <w:rPr>
          <w:rFonts w:eastAsia="Songti TC"/>
          <w:i/>
        </w:rPr>
        <w:t>kexue</w:t>
      </w:r>
      <w:proofErr w:type="spellEnd"/>
      <w:r w:rsidRPr="00CA3E55">
        <w:rPr>
          <w:rFonts w:eastAsia="Songti TC"/>
          <w:i/>
        </w:rPr>
        <w:t xml:space="preserve"> </w:t>
      </w:r>
      <w:proofErr w:type="spellStart"/>
      <w:r w:rsidRPr="00CA3E55">
        <w:rPr>
          <w:rFonts w:eastAsia="Songti TC"/>
          <w:i/>
        </w:rPr>
        <w:t>chubanshe</w:t>
      </w:r>
      <w:proofErr w:type="spellEnd"/>
      <w:r w:rsidRPr="00CA3E55">
        <w:rPr>
          <w:rFonts w:eastAsia="Songti TC"/>
        </w:rPr>
        <w:t>.</w:t>
      </w:r>
    </w:p>
    <w:p w14:paraId="7E913F3C" w14:textId="77777777" w:rsidR="008E0CD3" w:rsidRPr="00CA3E55" w:rsidRDefault="008E0CD3" w:rsidP="008E0CD3">
      <w:pPr>
        <w:snapToGrid w:val="0"/>
        <w:ind w:left="720" w:hanging="720"/>
        <w:jc w:val="both"/>
        <w:rPr>
          <w:rFonts w:eastAsia="Songti TC"/>
        </w:rPr>
      </w:pPr>
      <w:r w:rsidRPr="00CA3E55">
        <w:rPr>
          <w:rFonts w:eastAsia="Songti TC"/>
        </w:rPr>
        <w:t>State-owned Assets Supervision and Administration Commission</w:t>
      </w:r>
      <w:r>
        <w:rPr>
          <w:rFonts w:eastAsia="Songti TC"/>
        </w:rPr>
        <w:t xml:space="preserve"> (SASAC)</w:t>
      </w:r>
      <w:r w:rsidRPr="00CA3E55">
        <w:rPr>
          <w:rFonts w:eastAsia="Songti TC"/>
        </w:rPr>
        <w:t xml:space="preserve">. 2018. </w:t>
      </w:r>
      <w:proofErr w:type="spellStart"/>
      <w:r w:rsidRPr="00CA3E55">
        <w:rPr>
          <w:rFonts w:eastAsia="Songti TC"/>
          <w:i/>
        </w:rPr>
        <w:t>Guoqi</w:t>
      </w:r>
      <w:proofErr w:type="spellEnd"/>
      <w:r w:rsidRPr="00CA3E55">
        <w:rPr>
          <w:rFonts w:eastAsia="Songti TC"/>
          <w:i/>
        </w:rPr>
        <w:t xml:space="preserve"> </w:t>
      </w:r>
      <w:proofErr w:type="spellStart"/>
      <w:r w:rsidRPr="00CA3E55">
        <w:rPr>
          <w:rFonts w:eastAsia="Songti TC"/>
          <w:i/>
        </w:rPr>
        <w:t>gaige</w:t>
      </w:r>
      <w:proofErr w:type="spellEnd"/>
      <w:r w:rsidRPr="00CA3E55">
        <w:rPr>
          <w:rFonts w:eastAsia="Songti TC"/>
          <w:i/>
        </w:rPr>
        <w:t xml:space="preserve"> </w:t>
      </w:r>
      <w:proofErr w:type="spellStart"/>
      <w:r w:rsidRPr="00CA3E55">
        <w:rPr>
          <w:rFonts w:eastAsia="Songti TC"/>
          <w:i/>
        </w:rPr>
        <w:t>licheng</w:t>
      </w:r>
      <w:proofErr w:type="spellEnd"/>
      <w:r w:rsidRPr="00CA3E55">
        <w:rPr>
          <w:rFonts w:eastAsia="Songti TC"/>
          <w:i/>
        </w:rPr>
        <w:t xml:space="preserve">, 1978-2018 </w:t>
      </w:r>
      <w:r w:rsidRPr="00CA3E55">
        <w:rPr>
          <w:rFonts w:eastAsia="Songti TC"/>
        </w:rPr>
        <w:t xml:space="preserve">[The Course of Chinese State-Owned Enterprise Reform, 1978-2018], vol. 2. Beijing: </w:t>
      </w:r>
      <w:proofErr w:type="spellStart"/>
      <w:r w:rsidRPr="00CA3E55">
        <w:rPr>
          <w:rFonts w:eastAsia="Songti TC"/>
          <w:i/>
        </w:rPr>
        <w:t>Zhongguo</w:t>
      </w:r>
      <w:proofErr w:type="spellEnd"/>
      <w:r w:rsidRPr="00CA3E55">
        <w:rPr>
          <w:rFonts w:eastAsia="Songti TC"/>
          <w:i/>
        </w:rPr>
        <w:t xml:space="preserve"> </w:t>
      </w:r>
      <w:proofErr w:type="spellStart"/>
      <w:r w:rsidRPr="00CA3E55">
        <w:rPr>
          <w:rFonts w:eastAsia="Songti TC"/>
          <w:i/>
        </w:rPr>
        <w:t>jingji</w:t>
      </w:r>
      <w:proofErr w:type="spellEnd"/>
      <w:r w:rsidRPr="00CA3E55">
        <w:rPr>
          <w:rFonts w:eastAsia="Songti TC"/>
          <w:i/>
        </w:rPr>
        <w:t xml:space="preserve"> </w:t>
      </w:r>
      <w:proofErr w:type="spellStart"/>
      <w:r w:rsidRPr="00CA3E55">
        <w:rPr>
          <w:rFonts w:eastAsia="Songti TC"/>
          <w:i/>
        </w:rPr>
        <w:t>chubanshe</w:t>
      </w:r>
      <w:proofErr w:type="spellEnd"/>
      <w:r w:rsidRPr="00CA3E55">
        <w:rPr>
          <w:rFonts w:eastAsia="Songti TC"/>
        </w:rPr>
        <w:t xml:space="preserve">. </w:t>
      </w:r>
    </w:p>
    <w:p w14:paraId="2533D384" w14:textId="77777777" w:rsidR="008E0CD3" w:rsidRPr="00F02B68" w:rsidRDefault="008E0CD3" w:rsidP="008E0CD3">
      <w:pPr>
        <w:snapToGrid w:val="0"/>
        <w:ind w:left="720" w:hanging="720"/>
        <w:jc w:val="both"/>
        <w:rPr>
          <w:rFonts w:eastAsia="Songti TC"/>
        </w:rPr>
      </w:pPr>
      <w:r w:rsidRPr="00CA3E55">
        <w:rPr>
          <w:rFonts w:eastAsia="Songti TC"/>
        </w:rPr>
        <w:t xml:space="preserve">Tian, </w:t>
      </w:r>
      <w:proofErr w:type="spellStart"/>
      <w:r w:rsidRPr="00CA3E55">
        <w:rPr>
          <w:rFonts w:eastAsia="Songti TC"/>
        </w:rPr>
        <w:t>Lihui</w:t>
      </w:r>
      <w:proofErr w:type="spellEnd"/>
      <w:r w:rsidRPr="00CA3E55">
        <w:rPr>
          <w:rFonts w:eastAsia="Songti TC"/>
        </w:rPr>
        <w:t xml:space="preserve">, and Saul Estrin. 2008. “Retained State Shareholding in Chinese PLCs: Does Government Ownership Always Reduce Corporate Value?” </w:t>
      </w:r>
      <w:r w:rsidRPr="00CA3E55">
        <w:rPr>
          <w:rFonts w:eastAsia="Songti TC"/>
          <w:i/>
        </w:rPr>
        <w:t xml:space="preserve">Journal of Comparative Economics </w:t>
      </w:r>
      <w:r w:rsidRPr="00CA3E55">
        <w:rPr>
          <w:rFonts w:eastAsia="Songti TC"/>
        </w:rPr>
        <w:t>36, no. 1: 74-89.</w:t>
      </w:r>
    </w:p>
    <w:p w14:paraId="50462606" w14:textId="77777777" w:rsidR="008E0CD3" w:rsidRPr="00F02B68" w:rsidRDefault="008E0CD3" w:rsidP="008E0CD3">
      <w:pPr>
        <w:snapToGrid w:val="0"/>
        <w:ind w:left="720" w:hanging="720"/>
        <w:jc w:val="both"/>
        <w:rPr>
          <w:rFonts w:eastAsia="Songti TC"/>
          <w:shd w:val="clear" w:color="auto" w:fill="FFFFFF"/>
        </w:rPr>
      </w:pPr>
      <w:proofErr w:type="spellStart"/>
      <w:r w:rsidRPr="00F02B68">
        <w:rPr>
          <w:rFonts w:eastAsia="Songti TC"/>
          <w:shd w:val="clear" w:color="auto" w:fill="FFFFFF"/>
        </w:rPr>
        <w:t>Vortherms</w:t>
      </w:r>
      <w:proofErr w:type="spellEnd"/>
      <w:r w:rsidRPr="00F02B68">
        <w:rPr>
          <w:rFonts w:eastAsia="Songti TC"/>
          <w:shd w:val="clear" w:color="auto" w:fill="FFFFFF"/>
        </w:rPr>
        <w:t xml:space="preserve">, </w:t>
      </w:r>
      <w:r w:rsidRPr="00F02B68">
        <w:rPr>
          <w:color w:val="222222"/>
          <w:shd w:val="clear" w:color="auto" w:fill="FFFFFF"/>
        </w:rPr>
        <w:t>Samantha A. 2019. “Disaggregating China’s Local Political Budget Cycles: ‘Righting’ the U.” </w:t>
      </w:r>
      <w:r w:rsidRPr="00F02B68">
        <w:rPr>
          <w:i/>
          <w:iCs/>
          <w:color w:val="222222"/>
          <w:shd w:val="clear" w:color="auto" w:fill="FFFFFF"/>
        </w:rPr>
        <w:t>World Development</w:t>
      </w:r>
      <w:r w:rsidRPr="00F02B68">
        <w:rPr>
          <w:color w:val="222222"/>
          <w:shd w:val="clear" w:color="auto" w:fill="FFFFFF"/>
        </w:rPr>
        <w:t> 114: 95-109.</w:t>
      </w:r>
    </w:p>
    <w:p w14:paraId="2E2DA16D" w14:textId="77777777" w:rsidR="008E0CD3" w:rsidRPr="00F02B68" w:rsidRDefault="008E0CD3" w:rsidP="008E0CD3">
      <w:pPr>
        <w:snapToGrid w:val="0"/>
        <w:ind w:left="720" w:hanging="720"/>
        <w:jc w:val="both"/>
        <w:rPr>
          <w:rFonts w:eastAsia="Songti TC"/>
          <w:shd w:val="clear" w:color="auto" w:fill="FFFFFF"/>
        </w:rPr>
      </w:pPr>
      <w:r w:rsidRPr="00F02B68">
        <w:rPr>
          <w:rFonts w:eastAsia="Songti TC"/>
          <w:shd w:val="clear" w:color="auto" w:fill="FFFFFF"/>
        </w:rPr>
        <w:t xml:space="preserve">Wang, </w:t>
      </w:r>
      <w:proofErr w:type="spellStart"/>
      <w:r w:rsidRPr="00F02B68">
        <w:rPr>
          <w:rFonts w:eastAsia="Songti TC"/>
          <w:shd w:val="clear" w:color="auto" w:fill="FFFFFF"/>
        </w:rPr>
        <w:t>Changyun</w:t>
      </w:r>
      <w:proofErr w:type="spellEnd"/>
      <w:r w:rsidRPr="00F02B68">
        <w:rPr>
          <w:rFonts w:eastAsia="Songti TC"/>
          <w:shd w:val="clear" w:color="auto" w:fill="FFFFFF"/>
        </w:rPr>
        <w:t xml:space="preserve">. 2005. “Ownership and Operating Performance of Chinese IPOs.” </w:t>
      </w:r>
      <w:r w:rsidRPr="00F02B68">
        <w:rPr>
          <w:rFonts w:eastAsia="Songti TC"/>
          <w:i/>
          <w:shd w:val="clear" w:color="auto" w:fill="FFFFFF"/>
        </w:rPr>
        <w:t>Journal of Banking and Finance</w:t>
      </w:r>
      <w:r w:rsidRPr="00F02B68">
        <w:rPr>
          <w:rFonts w:eastAsia="Songti TC"/>
          <w:shd w:val="clear" w:color="auto" w:fill="FFFFFF"/>
        </w:rPr>
        <w:t xml:space="preserve"> 29, no 7: 1835-1856.</w:t>
      </w:r>
    </w:p>
    <w:p w14:paraId="2796A5FF" w14:textId="77777777" w:rsidR="008E0CD3" w:rsidRPr="00F02B68" w:rsidRDefault="008E0CD3" w:rsidP="008E0CD3">
      <w:pPr>
        <w:snapToGrid w:val="0"/>
        <w:jc w:val="both"/>
        <w:rPr>
          <w:rFonts w:eastAsia="Songti TC"/>
          <w:shd w:val="clear" w:color="auto" w:fill="FFFFFF"/>
        </w:rPr>
      </w:pPr>
      <w:r w:rsidRPr="00F02B68">
        <w:rPr>
          <w:rFonts w:eastAsia="Songti TC"/>
          <w:shd w:val="clear" w:color="auto" w:fill="FFFFFF"/>
        </w:rPr>
        <w:t>World Bank. 2014. “Corporate Governance of State-Owned Enterprises: A Toolkit.” Washington,</w:t>
      </w:r>
    </w:p>
    <w:p w14:paraId="596AE17B" w14:textId="77777777" w:rsidR="008E0CD3" w:rsidRPr="00F02B68" w:rsidRDefault="008E0CD3" w:rsidP="008E0CD3">
      <w:pPr>
        <w:snapToGrid w:val="0"/>
        <w:ind w:firstLine="720"/>
        <w:jc w:val="both"/>
      </w:pPr>
      <w:r w:rsidRPr="00F02B68">
        <w:rPr>
          <w:rFonts w:eastAsia="Songti TC"/>
          <w:shd w:val="clear" w:color="auto" w:fill="FFFFFF"/>
        </w:rPr>
        <w:t>DC: World Bank.</w:t>
      </w:r>
    </w:p>
    <w:p w14:paraId="74590E36" w14:textId="77777777" w:rsidR="008E0CD3" w:rsidRPr="00F02B68" w:rsidRDefault="008E0CD3" w:rsidP="008E0CD3">
      <w:pPr>
        <w:snapToGrid w:val="0"/>
        <w:ind w:left="720" w:hanging="720"/>
        <w:jc w:val="both"/>
      </w:pPr>
      <w:r w:rsidRPr="00F02B68">
        <w:t xml:space="preserve">Wu, Mark. 2016. “The ‘China, Inc.’ Challenge to Global Trade Governance,” </w:t>
      </w:r>
      <w:r w:rsidRPr="00F02B68">
        <w:rPr>
          <w:i/>
        </w:rPr>
        <w:t>Harvard International Law Journal</w:t>
      </w:r>
      <w:r w:rsidRPr="00F02B68">
        <w:t xml:space="preserve"> 57, no. 2: 261-324.</w:t>
      </w:r>
    </w:p>
    <w:p w14:paraId="1783285A" w14:textId="77777777" w:rsidR="008E0CD3" w:rsidRPr="00F02B68" w:rsidRDefault="008E0CD3" w:rsidP="008E0CD3">
      <w:pPr>
        <w:snapToGrid w:val="0"/>
        <w:ind w:left="720" w:hanging="720"/>
        <w:jc w:val="both"/>
        <w:rPr>
          <w:rFonts w:eastAsia="Songti TC"/>
        </w:rPr>
      </w:pPr>
      <w:r w:rsidRPr="00F02B68">
        <w:rPr>
          <w:rFonts w:eastAsia="Songti TC"/>
          <w:shd w:val="clear" w:color="auto" w:fill="FFFFFF"/>
        </w:rPr>
        <w:t xml:space="preserve">Yang, </w:t>
      </w:r>
      <w:proofErr w:type="spellStart"/>
      <w:r w:rsidRPr="00F02B68">
        <w:rPr>
          <w:rFonts w:eastAsia="Songti TC"/>
          <w:shd w:val="clear" w:color="auto" w:fill="FFFFFF"/>
        </w:rPr>
        <w:t>Ruilong</w:t>
      </w:r>
      <w:proofErr w:type="spellEnd"/>
      <w:r w:rsidRPr="00F02B68">
        <w:rPr>
          <w:rFonts w:eastAsia="Songti TC"/>
          <w:shd w:val="clear" w:color="auto" w:fill="FFFFFF"/>
        </w:rPr>
        <w:t xml:space="preserve">, Yuan Wang, and </w:t>
      </w:r>
      <w:proofErr w:type="spellStart"/>
      <w:r w:rsidRPr="00F02B68">
        <w:rPr>
          <w:rFonts w:eastAsia="Songti TC"/>
          <w:shd w:val="clear" w:color="auto" w:fill="FFFFFF"/>
        </w:rPr>
        <w:t>Huihua</w:t>
      </w:r>
      <w:proofErr w:type="spellEnd"/>
      <w:r w:rsidRPr="00F02B68">
        <w:rPr>
          <w:rFonts w:eastAsia="Songti TC"/>
          <w:shd w:val="clear" w:color="auto" w:fill="FFFFFF"/>
        </w:rPr>
        <w:t xml:space="preserve"> </w:t>
      </w:r>
      <w:proofErr w:type="spellStart"/>
      <w:r w:rsidRPr="00F02B68">
        <w:rPr>
          <w:rFonts w:eastAsia="Songti TC"/>
          <w:shd w:val="clear" w:color="auto" w:fill="FFFFFF"/>
        </w:rPr>
        <w:t>Nie</w:t>
      </w:r>
      <w:proofErr w:type="spellEnd"/>
      <w:r w:rsidRPr="00F02B68">
        <w:rPr>
          <w:rFonts w:eastAsia="Songti TC"/>
          <w:shd w:val="clear" w:color="auto" w:fill="FFFFFF"/>
        </w:rPr>
        <w:t>. 2012. “‘</w:t>
      </w:r>
      <w:proofErr w:type="spellStart"/>
      <w:r w:rsidRPr="00F02B68">
        <w:rPr>
          <w:rFonts w:eastAsia="Songti TC"/>
          <w:i/>
          <w:shd w:val="clear" w:color="auto" w:fill="FFFFFF"/>
        </w:rPr>
        <w:t>Zhun</w:t>
      </w:r>
      <w:proofErr w:type="spellEnd"/>
      <w:r w:rsidRPr="00F02B68">
        <w:rPr>
          <w:rFonts w:eastAsia="Songti TC"/>
          <w:i/>
          <w:shd w:val="clear" w:color="auto" w:fill="FFFFFF"/>
        </w:rPr>
        <w:t xml:space="preserve"> </w:t>
      </w:r>
      <w:proofErr w:type="spellStart"/>
      <w:r w:rsidRPr="00F02B68">
        <w:rPr>
          <w:rFonts w:eastAsia="Songti TC"/>
          <w:i/>
          <w:shd w:val="clear" w:color="auto" w:fill="FFFFFF"/>
        </w:rPr>
        <w:t>guanyuan</w:t>
      </w:r>
      <w:proofErr w:type="spellEnd"/>
      <w:r w:rsidRPr="00F02B68">
        <w:rPr>
          <w:rFonts w:eastAsia="Songti TC"/>
          <w:i/>
          <w:shd w:val="clear" w:color="auto" w:fill="FFFFFF"/>
        </w:rPr>
        <w:t xml:space="preserve">’ de </w:t>
      </w:r>
      <w:proofErr w:type="spellStart"/>
      <w:r w:rsidRPr="00F02B68">
        <w:rPr>
          <w:rFonts w:eastAsia="Songti TC"/>
          <w:i/>
          <w:shd w:val="clear" w:color="auto" w:fill="FFFFFF"/>
        </w:rPr>
        <w:t>pusheng</w:t>
      </w:r>
      <w:proofErr w:type="spellEnd"/>
      <w:r w:rsidRPr="00F02B68">
        <w:rPr>
          <w:rFonts w:eastAsia="Songti TC"/>
          <w:i/>
          <w:shd w:val="clear" w:color="auto" w:fill="FFFFFF"/>
        </w:rPr>
        <w:t xml:space="preserve"> </w:t>
      </w:r>
      <w:proofErr w:type="spellStart"/>
      <w:r w:rsidRPr="00F02B68">
        <w:rPr>
          <w:rFonts w:eastAsia="Songti TC"/>
          <w:i/>
          <w:shd w:val="clear" w:color="auto" w:fill="FFFFFF"/>
        </w:rPr>
        <w:t>jizhi</w:t>
      </w:r>
      <w:proofErr w:type="spellEnd"/>
      <w:r w:rsidRPr="00F02B68">
        <w:rPr>
          <w:rFonts w:eastAsia="Songti TC"/>
          <w:i/>
          <w:shd w:val="clear" w:color="auto" w:fill="FFFFFF"/>
        </w:rPr>
        <w:t xml:space="preserve">: </w:t>
      </w:r>
      <w:proofErr w:type="spellStart"/>
      <w:r w:rsidRPr="00F02B68">
        <w:rPr>
          <w:rFonts w:eastAsia="Songti TC"/>
          <w:i/>
          <w:shd w:val="clear" w:color="auto" w:fill="FFFFFF"/>
        </w:rPr>
        <w:t>laizi</w:t>
      </w:r>
      <w:proofErr w:type="spellEnd"/>
      <w:r w:rsidRPr="00F02B68">
        <w:rPr>
          <w:rFonts w:eastAsia="Songti TC"/>
          <w:i/>
          <w:shd w:val="clear" w:color="auto" w:fill="FFFFFF"/>
        </w:rPr>
        <w:t xml:space="preserve"> </w:t>
      </w:r>
      <w:proofErr w:type="spellStart"/>
      <w:r w:rsidRPr="00F02B68">
        <w:rPr>
          <w:rFonts w:eastAsia="Songti TC"/>
          <w:i/>
          <w:shd w:val="clear" w:color="auto" w:fill="FFFFFF"/>
        </w:rPr>
        <w:t>zhongguo</w:t>
      </w:r>
      <w:proofErr w:type="spellEnd"/>
      <w:r w:rsidRPr="00F02B68">
        <w:rPr>
          <w:rFonts w:eastAsia="Songti TC"/>
          <w:i/>
          <w:shd w:val="clear" w:color="auto" w:fill="FFFFFF"/>
        </w:rPr>
        <w:t xml:space="preserve"> </w:t>
      </w:r>
      <w:proofErr w:type="spellStart"/>
      <w:r w:rsidRPr="00F02B68">
        <w:rPr>
          <w:rFonts w:eastAsia="Songti TC"/>
          <w:i/>
          <w:shd w:val="clear" w:color="auto" w:fill="FFFFFF"/>
        </w:rPr>
        <w:t>yangqi</w:t>
      </w:r>
      <w:proofErr w:type="spellEnd"/>
      <w:r w:rsidRPr="00F02B68">
        <w:rPr>
          <w:rFonts w:eastAsia="Songti TC"/>
          <w:i/>
          <w:shd w:val="clear" w:color="auto" w:fill="FFFFFF"/>
        </w:rPr>
        <w:t xml:space="preserve"> de </w:t>
      </w:r>
      <w:proofErr w:type="spellStart"/>
      <w:r w:rsidRPr="00F02B68">
        <w:rPr>
          <w:rFonts w:eastAsia="Songti TC"/>
          <w:i/>
          <w:shd w:val="clear" w:color="auto" w:fill="FFFFFF"/>
        </w:rPr>
        <w:t>zhengju</w:t>
      </w:r>
      <w:proofErr w:type="spellEnd"/>
      <w:r w:rsidRPr="00F02B68">
        <w:rPr>
          <w:rFonts w:eastAsia="Songti TC"/>
          <w:shd w:val="clear" w:color="auto" w:fill="FFFFFF"/>
        </w:rPr>
        <w:t xml:space="preserve">” [The Political Promotion for Quasi-Government Officers: Evidence from Central State-owned Enterprises in China]. </w:t>
      </w:r>
      <w:proofErr w:type="spellStart"/>
      <w:r w:rsidRPr="00F02B68">
        <w:rPr>
          <w:rFonts w:eastAsia="Songti TC"/>
          <w:i/>
          <w:shd w:val="clear" w:color="auto" w:fill="FFFFFF"/>
        </w:rPr>
        <w:t>Guanli</w:t>
      </w:r>
      <w:proofErr w:type="spellEnd"/>
      <w:r w:rsidRPr="00F02B68">
        <w:rPr>
          <w:rFonts w:eastAsia="Songti TC"/>
          <w:i/>
          <w:shd w:val="clear" w:color="auto" w:fill="FFFFFF"/>
        </w:rPr>
        <w:t xml:space="preserve"> </w:t>
      </w:r>
      <w:proofErr w:type="spellStart"/>
      <w:r w:rsidRPr="00F02B68">
        <w:rPr>
          <w:rFonts w:eastAsia="Songti TC"/>
          <w:i/>
          <w:shd w:val="clear" w:color="auto" w:fill="FFFFFF"/>
        </w:rPr>
        <w:t>shijie</w:t>
      </w:r>
      <w:proofErr w:type="spellEnd"/>
      <w:r w:rsidRPr="00F02B68">
        <w:rPr>
          <w:rFonts w:eastAsia="Songti TC"/>
          <w:shd w:val="clear" w:color="auto" w:fill="FFFFFF"/>
        </w:rPr>
        <w:t xml:space="preserve"> [Management World] 3: 223-33.</w:t>
      </w:r>
    </w:p>
    <w:p w14:paraId="1DAFCC8E" w14:textId="77777777" w:rsidR="008E0CD3" w:rsidRDefault="008E0CD3" w:rsidP="008E0CD3">
      <w:pPr>
        <w:shd w:val="clear" w:color="auto" w:fill="FFFFFF" w:themeFill="background1"/>
        <w:rPr>
          <w:rFonts w:eastAsia="Songti SC"/>
        </w:rPr>
      </w:pPr>
      <w:r>
        <w:rPr>
          <w:rFonts w:eastAsia="Songti SC"/>
        </w:rPr>
        <w:t xml:space="preserve">Zhang, </w:t>
      </w:r>
      <w:proofErr w:type="spellStart"/>
      <w:r>
        <w:rPr>
          <w:rFonts w:eastAsia="Songti SC"/>
        </w:rPr>
        <w:t>Chunlin</w:t>
      </w:r>
      <w:proofErr w:type="spellEnd"/>
      <w:r>
        <w:rPr>
          <w:rFonts w:eastAsia="Songti SC"/>
        </w:rPr>
        <w:t>. 2019. “</w:t>
      </w:r>
      <w:r w:rsidRPr="00355BC2">
        <w:rPr>
          <w:rFonts w:eastAsia="Songti SC"/>
        </w:rPr>
        <w:t>How Much Do State-Owned Enterprises Contribute to China’s GDP and</w:t>
      </w:r>
    </w:p>
    <w:p w14:paraId="7C471E7A" w14:textId="77777777" w:rsidR="008E0CD3" w:rsidRDefault="008E0CD3" w:rsidP="008E0CD3">
      <w:pPr>
        <w:snapToGrid w:val="0"/>
        <w:ind w:firstLine="720"/>
        <w:jc w:val="both"/>
        <w:rPr>
          <w:rFonts w:eastAsia="Songti TC"/>
        </w:rPr>
      </w:pPr>
      <w:r w:rsidRPr="00355BC2">
        <w:rPr>
          <w:rFonts w:eastAsia="Songti SC"/>
        </w:rPr>
        <w:t>Employment?</w:t>
      </w:r>
      <w:r>
        <w:rPr>
          <w:rFonts w:eastAsia="Songti SC"/>
        </w:rPr>
        <w:t>”</w:t>
      </w:r>
      <w:r w:rsidRPr="00355BC2">
        <w:rPr>
          <w:rFonts w:eastAsia="Songti SC"/>
        </w:rPr>
        <w:t xml:space="preserve"> Washington DC: World Bank.</w:t>
      </w:r>
    </w:p>
    <w:p w14:paraId="4F6925AE" w14:textId="77777777" w:rsidR="008E0CD3" w:rsidRPr="00F02B68" w:rsidRDefault="008E0CD3" w:rsidP="008E0CD3">
      <w:pPr>
        <w:snapToGrid w:val="0"/>
        <w:ind w:left="720" w:hanging="720"/>
        <w:jc w:val="both"/>
        <w:rPr>
          <w:rFonts w:eastAsia="Songti TC"/>
        </w:rPr>
      </w:pPr>
      <w:r w:rsidRPr="00F02B68">
        <w:rPr>
          <w:rFonts w:eastAsia="Songti TC"/>
        </w:rPr>
        <w:t xml:space="preserve">Zhang, Jun, Qi Zhang and </w:t>
      </w:r>
      <w:proofErr w:type="spellStart"/>
      <w:r w:rsidRPr="00F02B68">
        <w:rPr>
          <w:rFonts w:eastAsia="Songti TC"/>
        </w:rPr>
        <w:t>Zhikuo</w:t>
      </w:r>
      <w:proofErr w:type="spellEnd"/>
      <w:r w:rsidRPr="00F02B68">
        <w:rPr>
          <w:rFonts w:eastAsia="Songti TC"/>
        </w:rPr>
        <w:t xml:space="preserve"> Liu. 2017. “The Political Logic of Partial Reform of China’s State-Owned Enterprises.” </w:t>
      </w:r>
      <w:r w:rsidRPr="00F02B68">
        <w:rPr>
          <w:rFonts w:eastAsia="Songti TC"/>
          <w:i/>
        </w:rPr>
        <w:t>Asian Survey</w:t>
      </w:r>
      <w:r w:rsidRPr="00F02B68">
        <w:rPr>
          <w:rFonts w:eastAsia="Songti TC"/>
        </w:rPr>
        <w:t xml:space="preserve"> 57, no. 3: 395-415.</w:t>
      </w:r>
    </w:p>
    <w:p w14:paraId="0FD76BB1" w14:textId="77777777" w:rsidR="008E0CD3" w:rsidRPr="00F02B68" w:rsidRDefault="008E0CD3" w:rsidP="008E0CD3">
      <w:pPr>
        <w:ind w:left="720" w:hanging="720"/>
        <w:rPr>
          <w:rFonts w:eastAsia="SimSun"/>
          <w:b/>
        </w:rPr>
      </w:pPr>
      <w:r w:rsidRPr="00F02B68">
        <w:rPr>
          <w:rFonts w:eastAsia="Songti TC"/>
          <w:shd w:val="clear" w:color="auto" w:fill="FFFFFF"/>
        </w:rPr>
        <w:t>Zhou, Li-an. 2018. “</w:t>
      </w:r>
      <w:r w:rsidRPr="00F02B68">
        <w:rPr>
          <w:rFonts w:eastAsia="Songti TC"/>
        </w:rPr>
        <w:t>‘</w:t>
      </w:r>
      <w:proofErr w:type="spellStart"/>
      <w:r w:rsidRPr="00F02B68">
        <w:rPr>
          <w:rFonts w:eastAsia="Songti TC"/>
          <w:i/>
        </w:rPr>
        <w:t>Guanchang</w:t>
      </w:r>
      <w:proofErr w:type="spellEnd"/>
      <w:r w:rsidRPr="00F02B68">
        <w:rPr>
          <w:rFonts w:eastAsia="Songti TC"/>
        </w:rPr>
        <w:t xml:space="preserve"> + </w:t>
      </w:r>
      <w:proofErr w:type="spellStart"/>
      <w:r w:rsidRPr="00F02B68">
        <w:rPr>
          <w:rFonts w:eastAsia="Songti TC"/>
          <w:i/>
        </w:rPr>
        <w:t>shichang</w:t>
      </w:r>
      <w:proofErr w:type="spellEnd"/>
      <w:r w:rsidRPr="00F02B68">
        <w:rPr>
          <w:rFonts w:eastAsia="Songti TC"/>
          <w:i/>
        </w:rPr>
        <w:t xml:space="preserve">’ </w:t>
      </w:r>
      <w:proofErr w:type="spellStart"/>
      <w:r w:rsidRPr="00F02B68">
        <w:rPr>
          <w:rFonts w:eastAsia="Songti TC"/>
          <w:i/>
        </w:rPr>
        <w:t>yu</w:t>
      </w:r>
      <w:proofErr w:type="spellEnd"/>
      <w:r w:rsidRPr="00F02B68">
        <w:rPr>
          <w:rFonts w:eastAsia="Songti TC"/>
          <w:i/>
        </w:rPr>
        <w:t xml:space="preserve"> </w:t>
      </w:r>
      <w:proofErr w:type="spellStart"/>
      <w:r w:rsidRPr="00F02B68">
        <w:rPr>
          <w:rFonts w:eastAsia="Songti TC"/>
          <w:i/>
        </w:rPr>
        <w:t>zhongguo</w:t>
      </w:r>
      <w:proofErr w:type="spellEnd"/>
      <w:r w:rsidRPr="00F02B68">
        <w:rPr>
          <w:rFonts w:eastAsia="Songti TC"/>
          <w:i/>
        </w:rPr>
        <w:t xml:space="preserve"> </w:t>
      </w:r>
      <w:proofErr w:type="spellStart"/>
      <w:r w:rsidRPr="00F02B68">
        <w:rPr>
          <w:rFonts w:eastAsia="Songti TC"/>
          <w:i/>
        </w:rPr>
        <w:t>zengzhang</w:t>
      </w:r>
      <w:proofErr w:type="spellEnd"/>
      <w:r w:rsidRPr="00F02B68">
        <w:rPr>
          <w:rFonts w:eastAsia="Songti TC"/>
          <w:i/>
        </w:rPr>
        <w:t xml:space="preserve"> </w:t>
      </w:r>
      <w:proofErr w:type="spellStart"/>
      <w:r w:rsidRPr="00F02B68">
        <w:rPr>
          <w:rFonts w:eastAsia="Songti TC"/>
          <w:i/>
        </w:rPr>
        <w:t>gushi</w:t>
      </w:r>
      <w:proofErr w:type="spellEnd"/>
      <w:r w:rsidRPr="00F02B68">
        <w:rPr>
          <w:rFonts w:eastAsia="Songti TC"/>
        </w:rPr>
        <w:t>”</w:t>
      </w:r>
      <w:r w:rsidRPr="00F02B68">
        <w:rPr>
          <w:rFonts w:eastAsia="Songti TC"/>
          <w:shd w:val="clear" w:color="auto" w:fill="FFFFFF"/>
        </w:rPr>
        <w:t xml:space="preserve"> </w:t>
      </w:r>
      <w:r w:rsidRPr="00F02B68">
        <w:rPr>
          <w:rFonts w:eastAsia="Songti TC"/>
        </w:rPr>
        <w:t xml:space="preserve">[‘Bureaucratic + Economic Markets’ and China’s Growth Story). </w:t>
      </w:r>
      <w:proofErr w:type="spellStart"/>
      <w:r w:rsidRPr="00F02B68">
        <w:rPr>
          <w:rFonts w:eastAsia="Songti TC"/>
          <w:i/>
        </w:rPr>
        <w:t>Shehui</w:t>
      </w:r>
      <w:proofErr w:type="spellEnd"/>
      <w:r w:rsidRPr="00F02B68">
        <w:rPr>
          <w:rFonts w:eastAsia="Songti TC"/>
        </w:rPr>
        <w:t xml:space="preserve"> [Chinese Journal of Sociology] 38, no. 2: 1-45.</w:t>
      </w:r>
    </w:p>
    <w:p w14:paraId="19974017" w14:textId="103BEC66" w:rsidR="00315077" w:rsidRDefault="00315077" w:rsidP="00315077">
      <w:pPr>
        <w:jc w:val="center"/>
        <w:rPr>
          <w:b/>
          <w:u w:val="single"/>
        </w:rPr>
      </w:pPr>
      <w:bookmarkStart w:id="8" w:name="_Hlk9326431"/>
      <w:bookmarkEnd w:id="8"/>
    </w:p>
    <w:p w14:paraId="65E8AEA3" w14:textId="77777777" w:rsidR="00127C2E" w:rsidRDefault="00127C2E" w:rsidP="00315077">
      <w:pPr>
        <w:jc w:val="center"/>
        <w:rPr>
          <w:rFonts w:eastAsia="SimSun"/>
          <w:b/>
        </w:rPr>
      </w:pPr>
    </w:p>
    <w:p w14:paraId="58752372" w14:textId="77777777" w:rsidR="00315077" w:rsidRDefault="00315077" w:rsidP="00315077">
      <w:pPr>
        <w:jc w:val="center"/>
        <w:rPr>
          <w:rFonts w:eastAsia="SimSun"/>
          <w:b/>
        </w:rPr>
      </w:pPr>
    </w:p>
    <w:p w14:paraId="73485162" w14:textId="77777777" w:rsidR="00315077" w:rsidRDefault="00315077" w:rsidP="00315077">
      <w:pPr>
        <w:jc w:val="center"/>
        <w:rPr>
          <w:rFonts w:eastAsia="SimSun"/>
          <w:b/>
        </w:rPr>
      </w:pPr>
    </w:p>
    <w:p w14:paraId="346A3E2B" w14:textId="20DDAD26" w:rsidR="00315077" w:rsidRDefault="00315077" w:rsidP="00315077">
      <w:pPr>
        <w:jc w:val="center"/>
        <w:rPr>
          <w:rFonts w:eastAsia="SimSun"/>
          <w:b/>
        </w:rPr>
      </w:pPr>
      <w:r w:rsidRPr="003E4B63">
        <w:rPr>
          <w:rFonts w:eastAsia="SimSun"/>
          <w:b/>
        </w:rPr>
        <w:lastRenderedPageBreak/>
        <w:t xml:space="preserve">Personnel Power: Governing </w:t>
      </w:r>
      <w:r>
        <w:rPr>
          <w:rFonts w:eastAsia="SimSun"/>
          <w:b/>
        </w:rPr>
        <w:t>State-Owned Enterprises</w:t>
      </w:r>
    </w:p>
    <w:p w14:paraId="6ADFCDB6" w14:textId="77777777" w:rsidR="00315077" w:rsidRPr="003E4B63" w:rsidRDefault="00315077" w:rsidP="00315077">
      <w:pPr>
        <w:jc w:val="center"/>
        <w:rPr>
          <w:rFonts w:eastAsia="SimSun"/>
          <w:b/>
        </w:rPr>
      </w:pPr>
    </w:p>
    <w:p w14:paraId="26E3B402" w14:textId="77777777" w:rsidR="00315077" w:rsidRDefault="00315077" w:rsidP="00315077">
      <w:pPr>
        <w:jc w:val="center"/>
        <w:rPr>
          <w:rFonts w:eastAsia="SimSun"/>
          <w:b/>
        </w:rPr>
      </w:pPr>
      <w:r w:rsidRPr="003E4B63">
        <w:rPr>
          <w:rFonts w:eastAsia="SimSun"/>
          <w:b/>
        </w:rPr>
        <w:t>Online Appendix</w:t>
      </w:r>
    </w:p>
    <w:p w14:paraId="087D71FE" w14:textId="77777777" w:rsidR="00315077" w:rsidRDefault="00315077" w:rsidP="00315077">
      <w:pPr>
        <w:jc w:val="center"/>
        <w:rPr>
          <w:rFonts w:eastAsia="SimSun"/>
          <w:b/>
        </w:rPr>
      </w:pPr>
    </w:p>
    <w:p w14:paraId="4F8AD8C4" w14:textId="77777777" w:rsidR="00315077" w:rsidRPr="003E4B63" w:rsidRDefault="00315077" w:rsidP="00315077">
      <w:pPr>
        <w:jc w:val="center"/>
        <w:rPr>
          <w:rFonts w:eastAsia="SimSun"/>
          <w:b/>
        </w:rPr>
      </w:pPr>
    </w:p>
    <w:p w14:paraId="1CAAB996" w14:textId="77777777" w:rsidR="00315077" w:rsidRPr="003E4B63" w:rsidRDefault="00315077" w:rsidP="00315077">
      <w:pPr>
        <w:jc w:val="both"/>
        <w:rPr>
          <w:u w:val="single"/>
        </w:rPr>
      </w:pPr>
      <w:r w:rsidRPr="003E4B63">
        <w:rPr>
          <w:u w:val="single"/>
        </w:rPr>
        <w:t>Sample Selection</w:t>
      </w:r>
    </w:p>
    <w:p w14:paraId="5C9E75EC" w14:textId="77777777" w:rsidR="00315077" w:rsidRDefault="00315077" w:rsidP="00315077">
      <w:pPr>
        <w:pStyle w:val="FootnoteText"/>
        <w:snapToGrid w:val="0"/>
        <w:rPr>
          <w:rFonts w:ascii="Times New Roman" w:hAnsi="Times New Roman" w:cs="Times New Roman"/>
          <w:color w:val="000000"/>
          <w:sz w:val="24"/>
          <w:szCs w:val="24"/>
        </w:rPr>
      </w:pPr>
      <w:r w:rsidRPr="003E4B63">
        <w:rPr>
          <w:rFonts w:ascii="Times New Roman" w:eastAsia="SimSun" w:hAnsi="Times New Roman" w:cs="Times New Roman"/>
          <w:sz w:val="24"/>
          <w:szCs w:val="24"/>
        </w:rPr>
        <w:t>We choose the start year of 2003 because that is the year in which the State-Owned Assets Supervision Commission (SASAC) was established and central SOEs first existed as a discrete set of firms for analysis. The end year of 2017 is selected to coincide with the end of Xi Jinping’s first five-year term; it is also the most recent year for which data is available.</w:t>
      </w:r>
      <w:r>
        <w:rPr>
          <w:rFonts w:ascii="Times New Roman" w:eastAsia="SimSun" w:hAnsi="Times New Roman" w:cs="Times New Roman"/>
          <w:sz w:val="24"/>
          <w:szCs w:val="24"/>
        </w:rPr>
        <w:t xml:space="preserve"> The core central SOEs are a stable grouping across the study’s </w:t>
      </w:r>
      <w:proofErr w:type="gramStart"/>
      <w:r>
        <w:rPr>
          <w:rFonts w:ascii="Times New Roman" w:eastAsia="SimSun" w:hAnsi="Times New Roman" w:cs="Times New Roman"/>
          <w:sz w:val="24"/>
          <w:szCs w:val="24"/>
        </w:rPr>
        <w:t>15 year</w:t>
      </w:r>
      <w:proofErr w:type="gramEnd"/>
      <w:r>
        <w:rPr>
          <w:rFonts w:ascii="Times New Roman" w:eastAsia="SimSun" w:hAnsi="Times New Roman" w:cs="Times New Roman"/>
          <w:sz w:val="24"/>
          <w:szCs w:val="24"/>
        </w:rPr>
        <w:t xml:space="preserve"> time period, with fewer than five firms ceasing to exist due to mergers. If </w:t>
      </w:r>
      <w:r>
        <w:rPr>
          <w:rFonts w:ascii="Times New Roman" w:hAnsi="Times New Roman" w:cs="Times New Roman"/>
          <w:color w:val="000000"/>
          <w:sz w:val="24"/>
          <w:szCs w:val="24"/>
        </w:rPr>
        <w:t xml:space="preserve">firm ceases to exist, its leaders are no longer coded and included in the sample starting from the following year. </w:t>
      </w:r>
    </w:p>
    <w:p w14:paraId="461ED50C" w14:textId="77777777" w:rsidR="00315077" w:rsidRPr="003E4B63" w:rsidRDefault="00315077" w:rsidP="00315077">
      <w:pPr>
        <w:pStyle w:val="FootnoteText"/>
        <w:snapToGrid w:val="0"/>
        <w:rPr>
          <w:rFonts w:ascii="Times New Roman" w:eastAsia="SimSun" w:hAnsi="Times New Roman" w:cs="Times New Roman"/>
          <w:sz w:val="24"/>
          <w:szCs w:val="24"/>
        </w:rPr>
      </w:pPr>
    </w:p>
    <w:p w14:paraId="27DFFFEF" w14:textId="77777777" w:rsidR="00315077" w:rsidRPr="00C83778" w:rsidRDefault="00315077" w:rsidP="00315077">
      <w:pPr>
        <w:pStyle w:val="NormalWeb"/>
        <w:spacing w:before="0" w:beforeAutospacing="0" w:after="0" w:afterAutospacing="0"/>
        <w:rPr>
          <w:rFonts w:ascii="SimSun" w:eastAsia="SimSun"/>
          <w:sz w:val="20"/>
          <w:szCs w:val="20"/>
        </w:rPr>
      </w:pPr>
      <w:r w:rsidRPr="003E4B63">
        <w:rPr>
          <w:rFonts w:eastAsia="SimSun"/>
        </w:rPr>
        <w:t>A leader is marked as starting in a given year if his appointment begins before July, that is in the first half of the year. The exit rule also uses the June/July cut off, as it is standard in the field.</w:t>
      </w:r>
      <w:r>
        <w:rPr>
          <w:rStyle w:val="FootnoteReference"/>
          <w:rFonts w:eastAsia="SimSun"/>
        </w:rPr>
        <w:footnoteReference w:id="72"/>
      </w:r>
      <w:r w:rsidRPr="003E4B63">
        <w:rPr>
          <w:rFonts w:eastAsia="SimSun"/>
        </w:rPr>
        <w:t xml:space="preserve"> This means our dataset drops any leaders who worked less than six months from 2003 to 2017, which includes 13 individuals: eight of whom either exited in 2003 or started in 2017 and five of whom had a total tenure of less than six months.</w:t>
      </w:r>
      <w:r>
        <w:rPr>
          <w:rFonts w:eastAsia="SimSun"/>
        </w:rPr>
        <w:t xml:space="preserve"> </w:t>
      </w:r>
      <w:r>
        <w:rPr>
          <w:rFonts w:eastAsia="SimSun"/>
          <w:color w:val="000000"/>
        </w:rPr>
        <w:t>W</w:t>
      </w:r>
      <w:r w:rsidRPr="00C83778">
        <w:rPr>
          <w:rFonts w:eastAsia="SimSun"/>
          <w:color w:val="000000"/>
        </w:rPr>
        <w:t>hen SOE leaders leave their positions they also exit the dataset; if they are transferred outside of the state sector but then are appointed back to another core central SOE executive position, they reenter the dataset.</w:t>
      </w:r>
    </w:p>
    <w:p w14:paraId="576A2DBE" w14:textId="77777777" w:rsidR="00315077" w:rsidRPr="00C83778" w:rsidRDefault="00315077" w:rsidP="00315077">
      <w:pPr>
        <w:rPr>
          <w:rFonts w:ascii="SimSun" w:eastAsia="SimSun"/>
          <w:sz w:val="20"/>
          <w:szCs w:val="20"/>
        </w:rPr>
      </w:pPr>
    </w:p>
    <w:p w14:paraId="1F69BB86" w14:textId="77777777" w:rsidR="00315077" w:rsidRPr="003E4B63" w:rsidRDefault="00315077" w:rsidP="00315077">
      <w:pPr>
        <w:rPr>
          <w:rFonts w:eastAsia="SimSun"/>
          <w:u w:val="single"/>
        </w:rPr>
      </w:pPr>
      <w:r w:rsidRPr="003E4B63">
        <w:rPr>
          <w:rFonts w:eastAsia="SimSun"/>
          <w:u w:val="single"/>
        </w:rPr>
        <w:t>Measuring Mobility</w:t>
      </w:r>
    </w:p>
    <w:p w14:paraId="364BD3EE" w14:textId="77777777" w:rsidR="00315077" w:rsidRDefault="00315077" w:rsidP="00315077">
      <w:pPr>
        <w:rPr>
          <w:rFonts w:eastAsia="SimSun"/>
        </w:rPr>
      </w:pPr>
      <w:r w:rsidRPr="003E4B63">
        <w:rPr>
          <w:rFonts w:eastAsia="SimSun"/>
        </w:rPr>
        <w:t xml:space="preserve">Biographical information about these leaders’ backgrounds and their career trajectories was compiled from their official CVs, available on company websites or publicly online, as well as media reports and the Chinese Political Elites Database hosted by National </w:t>
      </w:r>
      <w:proofErr w:type="spellStart"/>
      <w:r w:rsidRPr="003E4B63">
        <w:rPr>
          <w:rFonts w:eastAsia="SimSun"/>
        </w:rPr>
        <w:t>Chengchi</w:t>
      </w:r>
      <w:proofErr w:type="spellEnd"/>
      <w:r w:rsidRPr="003E4B63">
        <w:rPr>
          <w:rFonts w:eastAsia="SimSun"/>
        </w:rPr>
        <w:t xml:space="preserve"> University. All of the models presented in the paper include all three types of leaders pooled into one sample. Robustness checks verify that there are no systematic differences between types of leaders.</w:t>
      </w:r>
    </w:p>
    <w:p w14:paraId="160E198B" w14:textId="77777777" w:rsidR="00315077" w:rsidRPr="003E4B63" w:rsidRDefault="00315077" w:rsidP="00315077">
      <w:pPr>
        <w:rPr>
          <w:rFonts w:eastAsia="SimSun"/>
          <w:u w:val="single"/>
        </w:rPr>
      </w:pPr>
    </w:p>
    <w:p w14:paraId="35F6B94C" w14:textId="77777777" w:rsidR="00315077" w:rsidRPr="003E4B63" w:rsidRDefault="00315077" w:rsidP="00315077">
      <w:pPr>
        <w:rPr>
          <w:u w:val="single"/>
        </w:rPr>
      </w:pPr>
      <w:r w:rsidRPr="003E4B63">
        <w:rPr>
          <w:u w:val="single"/>
        </w:rPr>
        <w:t>Measuring ROA</w:t>
      </w:r>
    </w:p>
    <w:p w14:paraId="552F5D3E" w14:textId="77777777" w:rsidR="00315077" w:rsidRPr="003E4B63" w:rsidRDefault="00315077" w:rsidP="00315077">
      <w:pPr>
        <w:rPr>
          <w:rFonts w:eastAsia="SimSun"/>
        </w:rPr>
      </w:pPr>
      <w:r>
        <w:rPr>
          <w:rFonts w:eastAsia="SimSun"/>
        </w:rPr>
        <w:t>Regulatory</w:t>
      </w:r>
      <w:r w:rsidRPr="003E4B63">
        <w:rPr>
          <w:rFonts w:eastAsia="SimSun"/>
        </w:rPr>
        <w:t xml:space="preserve"> authorities</w:t>
      </w:r>
      <w:r>
        <w:rPr>
          <w:rFonts w:eastAsia="SimSun"/>
        </w:rPr>
        <w:t xml:space="preserve"> do not require public disclosure of performance data for overall enterprise groups</w:t>
      </w:r>
      <w:r w:rsidRPr="003E4B63">
        <w:rPr>
          <w:rFonts w:eastAsia="SimSun"/>
        </w:rPr>
        <w:t xml:space="preserve">. SASAC does publish performance data for entire </w:t>
      </w:r>
      <w:r>
        <w:rPr>
          <w:rFonts w:eastAsia="SimSun"/>
        </w:rPr>
        <w:t>enterprise</w:t>
      </w:r>
      <w:r w:rsidRPr="003E4B63">
        <w:rPr>
          <w:rFonts w:eastAsia="SimSun"/>
        </w:rPr>
        <w:t xml:space="preserve"> groups in its annual yearbooks, but these data are highly suspect and reported inconsistently.</w:t>
      </w:r>
      <w:r>
        <w:rPr>
          <w:rFonts w:eastAsia="SimSun"/>
        </w:rPr>
        <w:t xml:space="preserve"> We therefore </w:t>
      </w:r>
      <w:r w:rsidRPr="00624188">
        <w:rPr>
          <w:rFonts w:eastAsia="SimSun"/>
          <w:color w:val="000000"/>
        </w:rPr>
        <w:t xml:space="preserve">use performance data for the publicly listed subsidiaries of core central SOEs to proxy for performance of the overall business group. Since publicly listed subsidiaries typically contain the best quality productive assets from core central SOEs, their performance represents a conservative upper bound for assessing that of the overall enterprise group. </w:t>
      </w:r>
    </w:p>
    <w:p w14:paraId="1518FC0D" w14:textId="77777777" w:rsidR="00315077" w:rsidRPr="003E4B63" w:rsidRDefault="00315077" w:rsidP="00315077">
      <w:pPr>
        <w:ind w:firstLine="720"/>
        <w:rPr>
          <w:rFonts w:eastAsia="SimSun"/>
        </w:rPr>
      </w:pPr>
      <w:r w:rsidRPr="003E4B63">
        <w:rPr>
          <w:rFonts w:eastAsia="SimSun"/>
        </w:rPr>
        <w:t>To measure ROA, we calculate core central SOEs’ largest listed subsidiaries’ ratio of net profit to net assets, using data from the WIND financial database. Using ROA (level) may unin</w:t>
      </w:r>
      <w:r>
        <w:rPr>
          <w:rFonts w:eastAsia="SimSun"/>
        </w:rPr>
        <w:t>tentionally</w:t>
      </w:r>
      <w:r w:rsidRPr="003E4B63">
        <w:rPr>
          <w:rFonts w:eastAsia="SimSun"/>
        </w:rPr>
        <w:t xml:space="preserve"> capture variation in firm performance not attributed to leader quality, creating measurement error.</w:t>
      </w:r>
      <w:r w:rsidRPr="003E4B63">
        <w:rPr>
          <w:rStyle w:val="FootnoteReference"/>
          <w:rFonts w:eastAsia="SimSun"/>
        </w:rPr>
        <w:footnoteReference w:id="73"/>
      </w:r>
    </w:p>
    <w:p w14:paraId="7A8A411B" w14:textId="77777777" w:rsidR="00315077" w:rsidRDefault="00315077" w:rsidP="00315077">
      <w:pPr>
        <w:ind w:firstLine="720"/>
        <w:rPr>
          <w:rFonts w:eastAsia="SimSun"/>
        </w:rPr>
      </w:pPr>
      <w:r w:rsidRPr="003E4B63">
        <w:rPr>
          <w:rFonts w:eastAsia="SimSun"/>
        </w:rPr>
        <w:t xml:space="preserve">Return on assets (ROA) is available via stock market data portals, but these data show high variance and significant outliers, increasing concerns about data quality. Our calculated </w:t>
      </w:r>
      <w:r w:rsidRPr="003E4B63">
        <w:rPr>
          <w:rFonts w:eastAsia="SimSun"/>
        </w:rPr>
        <w:lastRenderedPageBreak/>
        <w:t>measure has significantly fewer outliers than the available ROA data and, once extreme outliers are removed from the WIND ROA data, there is a strong correlation between the existing data and our own measure (ρ=0.78). For data completeness and due to concern about outliers, we use our calculated ROA measure throughout this analysis. Four core central SOEs did not have subsidiaries listed domestically in mainland China but did have subsidiaries listed on stock exchanges in Hong Kong and New York; we included performance data from overseas listed subsidiaries for these firms. Of the 54 firms in the dataset, two rely on data from the Hong Kong stock exchange: Shenhua Group and China Unicom. An additional two firms rely on data from the New York Stock Exchange: China Telecom and China Mobile. Where data from international stock markets were used, an additional control for foreign stock exchange is included.</w:t>
      </w:r>
    </w:p>
    <w:p w14:paraId="24F0A677" w14:textId="77777777" w:rsidR="00315077" w:rsidRPr="003E4B63" w:rsidRDefault="00315077" w:rsidP="00315077">
      <w:pPr>
        <w:ind w:firstLine="720"/>
        <w:rPr>
          <w:rFonts w:eastAsia="SimSun"/>
        </w:rPr>
      </w:pPr>
    </w:p>
    <w:p w14:paraId="3F2EEE3C" w14:textId="77777777" w:rsidR="00315077" w:rsidRPr="003E4B63" w:rsidRDefault="00315077" w:rsidP="00315077">
      <w:pPr>
        <w:rPr>
          <w:u w:val="single"/>
        </w:rPr>
      </w:pPr>
      <w:r w:rsidRPr="003E4B63">
        <w:rPr>
          <w:u w:val="single"/>
        </w:rPr>
        <w:t xml:space="preserve">Modeling Strategies </w:t>
      </w:r>
    </w:p>
    <w:p w14:paraId="067646D2" w14:textId="77777777" w:rsidR="00315077" w:rsidRDefault="00315077" w:rsidP="00315077">
      <w:pPr>
        <w:snapToGrid w:val="0"/>
        <w:rPr>
          <w:rFonts w:eastAsia="SimSun"/>
        </w:rPr>
      </w:pPr>
      <w:r w:rsidRPr="003E4B63">
        <w:rPr>
          <w:rFonts w:eastAsia="SimSun"/>
        </w:rPr>
        <w:t>Existing studies model these measures using ordered logit models.</w:t>
      </w:r>
      <w:r>
        <w:rPr>
          <w:rStyle w:val="FootnoteReference"/>
          <w:rFonts w:eastAsia="SimSun"/>
        </w:rPr>
        <w:footnoteReference w:id="74"/>
      </w:r>
      <w:r w:rsidRPr="003E4B63">
        <w:rPr>
          <w:rFonts w:eastAsia="SimSun"/>
        </w:rPr>
        <w:t xml:space="preserve"> These models assume exit is less desirable than maintaining one’s position or a lateral transfer and that promotions are most sought after. While these models may be appropriate for some samples, we decided to use the less structured multinomial model for two reasons. First, core central SOE leaders are officials relatively advanced in their careers—the average age is 55—and they operate in an area of the Chinese bureaucracy in which no clear lines of promotion exist. Promotion to a ministerial-ranked position within the state-owned economy is not possible; lateral moves to another central-level SOE can represent either a holding pattern in advance of impending retirement or a step forward in one’s career. Moreover, there may be cases in which appointments to government may be less of a career advancement than remaining in the state-owned economy. Second, ordered logit models have strict assumptions of parallel regression or proportional odds, meaning there is a parallel trend between different outcomes. As a robustness check, we repeated our models with an ordered logit and each model clearly violates this assumption. Therefore, we</w:t>
      </w:r>
      <w:r>
        <w:rPr>
          <w:rFonts w:eastAsia="SimSun"/>
        </w:rPr>
        <w:t xml:space="preserve"> follow existing work to</w:t>
      </w:r>
      <w:r w:rsidRPr="003E4B63">
        <w:rPr>
          <w:rFonts w:eastAsia="SimSun"/>
        </w:rPr>
        <w:t xml:space="preserve"> conclude that a multinomial logit is more appropriate than an ordered logit </w:t>
      </w:r>
      <w:r>
        <w:rPr>
          <w:rFonts w:eastAsia="SimSun"/>
        </w:rPr>
        <w:t>to</w:t>
      </w:r>
      <w:r w:rsidRPr="003E4B63">
        <w:rPr>
          <w:rFonts w:eastAsia="SimSun"/>
        </w:rPr>
        <w:t xml:space="preserve"> model political mobility</w:t>
      </w:r>
      <w:r>
        <w:rPr>
          <w:rFonts w:eastAsia="SimSun"/>
        </w:rPr>
        <w:t>.</w:t>
      </w:r>
      <w:r w:rsidRPr="003E4B63">
        <w:rPr>
          <w:rStyle w:val="FootnoteReference"/>
          <w:rFonts w:eastAsia="SimSun"/>
        </w:rPr>
        <w:footnoteReference w:id="75"/>
      </w:r>
      <w:r w:rsidRPr="003E4B63">
        <w:rPr>
          <w:rFonts w:eastAsia="SimSun"/>
        </w:rPr>
        <w:t xml:space="preserve"> </w:t>
      </w:r>
    </w:p>
    <w:p w14:paraId="0287A3A9" w14:textId="77777777" w:rsidR="00315077" w:rsidRPr="002874A5" w:rsidRDefault="00315077" w:rsidP="00315077">
      <w:pPr>
        <w:pStyle w:val="NormalWeb"/>
        <w:spacing w:before="0" w:beforeAutospacing="0" w:after="0" w:afterAutospacing="0"/>
        <w:ind w:firstLine="720"/>
        <w:textAlignment w:val="baseline"/>
        <w:rPr>
          <w:color w:val="000000"/>
        </w:rPr>
      </w:pPr>
      <w:r w:rsidRPr="002874A5">
        <w:rPr>
          <w:rFonts w:eastAsia="SimSun"/>
        </w:rPr>
        <w:t xml:space="preserve">An alternative modeling strategy option is survival analysis using event history. </w:t>
      </w:r>
      <w:r w:rsidRPr="002874A5">
        <w:rPr>
          <w:color w:val="000000"/>
        </w:rPr>
        <w:t xml:space="preserve">There are three reasons why we choose a discrete model rather than a classic event history analysis. First, the logit and multinomial logit models are the standard in the field for research on elite management in China. Multinomial models allow our results to be more readily comparable to the existing literature to </w:t>
      </w:r>
      <w:r>
        <w:rPr>
          <w:color w:val="000000"/>
        </w:rPr>
        <w:t>facilitate the</w:t>
      </w:r>
      <w:r w:rsidRPr="002874A5">
        <w:rPr>
          <w:color w:val="000000"/>
        </w:rPr>
        <w:t xml:space="preserve"> accumulation of knowledge. </w:t>
      </w:r>
    </w:p>
    <w:p w14:paraId="289E34CE" w14:textId="77777777" w:rsidR="00315077" w:rsidRPr="002874A5" w:rsidRDefault="00315077" w:rsidP="00315077">
      <w:pPr>
        <w:snapToGrid w:val="0"/>
        <w:ind w:firstLine="720"/>
        <w:rPr>
          <w:color w:val="000000"/>
        </w:rPr>
      </w:pPr>
      <w:r w:rsidRPr="002874A5">
        <w:rPr>
          <w:color w:val="000000"/>
        </w:rPr>
        <w:t>Second, event history analysis, including parametric, non-parametric, and the semi-parametric Cox proportional hazard models, all assume a continuous time measure. The fundamental assumption is that failure can occur at any time and that the time units are sufficiently close to each other. Time units that are more discrete in nature, including year intervals, undermine these assumptions and should be modeled using a discrete model, such as the one pres</w:t>
      </w:r>
      <w:r>
        <w:rPr>
          <w:color w:val="000000"/>
        </w:rPr>
        <w:t>ented in the original analysis</w:t>
      </w:r>
      <w:r w:rsidRPr="002874A5">
        <w:rPr>
          <w:color w:val="000000"/>
        </w:rPr>
        <w:t>.</w:t>
      </w:r>
      <w:r>
        <w:rPr>
          <w:rStyle w:val="FootnoteReference"/>
          <w:color w:val="000000"/>
        </w:rPr>
        <w:footnoteReference w:id="76"/>
      </w:r>
      <w:r w:rsidRPr="002874A5">
        <w:rPr>
          <w:color w:val="000000"/>
        </w:rPr>
        <w:t xml:space="preserve"> Presumably, this shortcoming could be ignored, and year-based data modeled continuously if there is a sufficient spread of events over a broad </w:t>
      </w:r>
      <w:r w:rsidRPr="002874A5">
        <w:rPr>
          <w:color w:val="000000"/>
        </w:rPr>
        <w:lastRenderedPageBreak/>
        <w:t xml:space="preserve">timeline. Indeed, the maximum “time to failure,” the longest tenure in our dataset, is 18 years, which is a borderline case for treating time continuously. Looking at the distribution of observations, however, suggests a skew to the data: the average tenure is only 6 years. This skew combined with the non-continuous time parameter makes us wary of fitting a model with a continuous assumption. </w:t>
      </w:r>
    </w:p>
    <w:p w14:paraId="585C9555" w14:textId="77777777" w:rsidR="00315077" w:rsidRPr="002874A5" w:rsidRDefault="00315077" w:rsidP="00315077">
      <w:pPr>
        <w:snapToGrid w:val="0"/>
        <w:ind w:firstLine="720"/>
        <w:rPr>
          <w:color w:val="000000"/>
        </w:rPr>
      </w:pPr>
      <w:r w:rsidRPr="002874A5">
        <w:rPr>
          <w:color w:val="000000"/>
        </w:rPr>
        <w:t xml:space="preserve">Finally, we are concerned about the appropriateness of event history analysis with our measure of connections. Connectedness variables are always defined as 1 at the start and cannot extend after 10, which biases the underlying hazard function. This combined with the skewed, discrete time variable greatly increases our concern of using event history analysis as the primary, or even robustness check, using the connectedness variable over the entire sample. </w:t>
      </w:r>
    </w:p>
    <w:p w14:paraId="72D9CE32" w14:textId="77777777" w:rsidR="00315077" w:rsidRPr="002874A5" w:rsidRDefault="00315077" w:rsidP="00315077">
      <w:pPr>
        <w:snapToGrid w:val="0"/>
        <w:rPr>
          <w:rFonts w:eastAsia="SimSun"/>
        </w:rPr>
      </w:pPr>
      <w:r w:rsidRPr="002874A5">
        <w:rPr>
          <w:rFonts w:eastAsia="SimSun"/>
        </w:rPr>
        <w:t xml:space="preserve">We evaluate the potential </w:t>
      </w:r>
      <w:r w:rsidRPr="002874A5">
        <w:rPr>
          <w:color w:val="000000"/>
        </w:rPr>
        <w:t xml:space="preserve">appropriateness of an event history analysis by applying a discrete-time event history analysis to our sample. Looking at the results of this analysis, we find further evidence that the underlying assumptions of the event history analysis may be inappropriate. Appendix Table </w:t>
      </w:r>
      <w:r>
        <w:rPr>
          <w:color w:val="000000"/>
        </w:rPr>
        <w:t>A8</w:t>
      </w:r>
      <w:r w:rsidRPr="002874A5">
        <w:rPr>
          <w:color w:val="000000"/>
        </w:rPr>
        <w:t xml:space="preserve"> shows that the time elements in our sample do not act linearly. Only three time periods are statistically significant: the second, third, and ninth years of tenure. In these years, exit is less likely. </w:t>
      </w:r>
    </w:p>
    <w:p w14:paraId="28C838B8" w14:textId="77777777" w:rsidR="00315077" w:rsidRPr="003E4B63" w:rsidRDefault="00315077" w:rsidP="00315077">
      <w:pPr>
        <w:snapToGrid w:val="0"/>
        <w:rPr>
          <w:rFonts w:eastAsia="SimSun"/>
        </w:rPr>
      </w:pPr>
    </w:p>
    <w:p w14:paraId="2434BBB2" w14:textId="77777777" w:rsidR="00315077" w:rsidRPr="003E4B63" w:rsidRDefault="00315077" w:rsidP="00315077">
      <w:pPr>
        <w:rPr>
          <w:rFonts w:eastAsia="SimSun"/>
          <w:u w:val="single"/>
        </w:rPr>
      </w:pPr>
      <w:r w:rsidRPr="003E4B63">
        <w:rPr>
          <w:rFonts w:eastAsia="SimSun"/>
          <w:u w:val="single"/>
        </w:rPr>
        <w:t>Robustness Checks</w:t>
      </w:r>
    </w:p>
    <w:p w14:paraId="16114EC5" w14:textId="77777777" w:rsidR="00315077" w:rsidRPr="003E4B63" w:rsidRDefault="00315077" w:rsidP="00315077">
      <w:pPr>
        <w:rPr>
          <w:rFonts w:eastAsia="SimSun"/>
        </w:rPr>
      </w:pPr>
      <w:r w:rsidRPr="003E4B63">
        <w:rPr>
          <w:rFonts w:eastAsia="SimSun"/>
        </w:rPr>
        <w:t xml:space="preserve">The other source for data on firm performance is from SASAC itself. SASAC publishes annual yearbooks with </w:t>
      </w:r>
      <w:r>
        <w:rPr>
          <w:rFonts w:eastAsia="SimSun"/>
        </w:rPr>
        <w:t>data including</w:t>
      </w:r>
      <w:r w:rsidRPr="003E4B63">
        <w:rPr>
          <w:rFonts w:eastAsia="SimSun"/>
        </w:rPr>
        <w:t xml:space="preserve"> performance measures that SASAC itself uses for evaluation criteria, </w:t>
      </w:r>
      <w:r>
        <w:rPr>
          <w:rFonts w:eastAsia="SimSun"/>
        </w:rPr>
        <w:t>such as</w:t>
      </w:r>
      <w:r w:rsidRPr="003E4B63">
        <w:rPr>
          <w:rFonts w:eastAsia="SimSun"/>
        </w:rPr>
        <w:t xml:space="preserve"> preservation of state-owned asset value. These data, however, are reported highly irregularly both across time and firms and are more susceptible than stock exchange data to political manipulation or even falsification, due to lack of information disclosure requirements. This creates serious concerns about omitted data not being missing at random, so we do not use this data in our main models or attempt to impute missing values because this would risk introducing bias. As a robustness check, we repeat the analysis using the SASAC data on the highly restricted sample. </w:t>
      </w:r>
      <w:r>
        <w:rPr>
          <w:rFonts w:eastAsia="SimSun"/>
        </w:rPr>
        <w:t>Both p</w:t>
      </w:r>
      <w:r w:rsidRPr="003E4B63">
        <w:rPr>
          <w:rFonts w:eastAsia="SimSun"/>
        </w:rPr>
        <w:t xml:space="preserve">reservation of assets </w:t>
      </w:r>
      <w:r>
        <w:rPr>
          <w:rFonts w:eastAsia="SimSun"/>
        </w:rPr>
        <w:t>and business group income are</w:t>
      </w:r>
      <w:r w:rsidRPr="003E4B63">
        <w:rPr>
          <w:rFonts w:eastAsia="SimSun"/>
        </w:rPr>
        <w:t xml:space="preserve"> negatively correlated with the likelihood of transfer to a government position </w:t>
      </w:r>
      <w:r>
        <w:rPr>
          <w:rFonts w:eastAsia="SimSun"/>
        </w:rPr>
        <w:t>(Table A9)</w:t>
      </w:r>
      <w:r w:rsidRPr="003E4B63">
        <w:rPr>
          <w:rFonts w:eastAsia="SimSun"/>
        </w:rPr>
        <w:t>. These findings broadly support our finding of performance being correlated with staying in one’s position</w:t>
      </w:r>
      <w:r>
        <w:rPr>
          <w:rFonts w:eastAsia="SimSun"/>
        </w:rPr>
        <w:t>, specifically not being pulled into government</w:t>
      </w:r>
      <w:r w:rsidRPr="003E4B63">
        <w:rPr>
          <w:rFonts w:eastAsia="SimSun"/>
        </w:rPr>
        <w:t xml:space="preserve">. </w:t>
      </w:r>
    </w:p>
    <w:p w14:paraId="31078A66" w14:textId="77777777" w:rsidR="00315077" w:rsidRPr="003E4B63" w:rsidRDefault="00315077" w:rsidP="00315077">
      <w:pPr>
        <w:ind w:firstLine="720"/>
        <w:rPr>
          <w:rFonts w:eastAsia="SimSun"/>
        </w:rPr>
      </w:pPr>
      <w:r w:rsidRPr="003E4B63">
        <w:rPr>
          <w:rFonts w:eastAsia="SimSun"/>
        </w:rPr>
        <w:t>The models presented above utilize one measure of performance, ROA, to test the performance hypothesis. There are other performance measures that both SASAC leaders and the COD could use to assess performance, meaning our proxy would not appropriately capture performance. To validate the findings, we repeat the analysis using return on equity (ROE) and earnings per share (EPS), two other standard indicators of firm performance. The results with the other indicators are similar, although both ROE and EPS are negatively correlated with exit whereas the correlation is not statistically significant for ROA. Model diagnostics suggest that ROA models are a better fit for the data than ROE and EPS is less comparable across stock exchanges, so we use ROA in our final models presented above.</w:t>
      </w:r>
    </w:p>
    <w:p w14:paraId="095532B1" w14:textId="77777777" w:rsidR="00315077" w:rsidRPr="003E4B63" w:rsidRDefault="00315077" w:rsidP="00315077">
      <w:pPr>
        <w:ind w:firstLine="720"/>
        <w:rPr>
          <w:rFonts w:eastAsia="SimSun"/>
        </w:rPr>
      </w:pPr>
      <w:r w:rsidRPr="003E4B63">
        <w:rPr>
          <w:rFonts w:eastAsia="SimSun"/>
        </w:rPr>
        <w:t>Formal connections could be picking up endogenous career paths. If a COD director wants to promote a given SOE leader, they could appoint the leader to a government commission during their tenure to make future government appointment more likely. If this were the case, the formal experience indicator would be picking up informal connections. As a robustness check, we re-run the models with an indicator for previous government experience, which only includes government experience prior to their SOE leadership role. The results remain unchanged.</w:t>
      </w:r>
    </w:p>
    <w:p w14:paraId="2486564B" w14:textId="77777777" w:rsidR="00315077" w:rsidRPr="003E4B63" w:rsidRDefault="00315077" w:rsidP="00315077">
      <w:pPr>
        <w:ind w:firstLine="720"/>
        <w:rPr>
          <w:rFonts w:eastAsia="SimSun"/>
        </w:rPr>
      </w:pPr>
      <w:r w:rsidRPr="003E4B63">
        <w:rPr>
          <w:rFonts w:eastAsia="SimSun"/>
        </w:rPr>
        <w:lastRenderedPageBreak/>
        <w:t xml:space="preserve">Informal connections with China’s key leaders have also been measured on a looser basis, by looking at networks within the CCP. Instead of the patron-based model presented above, we could include standard measures for factions related to Hu Jintao and Xi Jinping based on work experience within the CCP. A leader is defined as being in Hu Jintao’s network if they have experience in the Communist Youth League, which Hu Jintao headed as First Secretary early in his career (1984-1985). Leaders are considered connected with Xi Jinping if they have previous work experience in Shanghai or Zhejiang, where Xi served as party secretary (2002-2007 and 2007, respectively). We prefer the patron method discussed above because of its closer ties to an actual working relationship and because the sample size of Youth League and Shanghai/Zhejiang connections is small in our dataset (11 and 17 respectively). </w:t>
      </w:r>
    </w:p>
    <w:p w14:paraId="50A9323E" w14:textId="77777777" w:rsidR="00315077" w:rsidRDefault="00315077" w:rsidP="00315077">
      <w:pPr>
        <w:pStyle w:val="ListParagraph"/>
        <w:spacing w:line="240" w:lineRule="auto"/>
        <w:ind w:left="0" w:firstLine="720"/>
        <w:rPr>
          <w:rFonts w:ascii="Times New Roman" w:eastAsia="SimSun" w:hAnsi="Times New Roman" w:cs="Times New Roman"/>
          <w:sz w:val="24"/>
          <w:szCs w:val="24"/>
        </w:rPr>
      </w:pPr>
      <w:r w:rsidRPr="003E4B63">
        <w:rPr>
          <w:rFonts w:ascii="Times New Roman" w:eastAsia="SimSun" w:hAnsi="Times New Roman" w:cs="Times New Roman"/>
          <w:sz w:val="24"/>
          <w:szCs w:val="24"/>
        </w:rPr>
        <w:t>Finally, we find limited evidence of position effects: that serving in particular executive leadership positions—or combinations of them—affects political mobility. The sample presented here includes individuals serving in all three types of core central SOE leadership posts—Party secretary, general manager, and chair of the board of directors, if one exists—and all possible combinations of these positions. It is possible that political mobility outcomes may vary by leadership position. For example, the Party secretary of a firm may be more closely integrated into the CCP and be more likely to move into the government. To test for position effects, we implement a model with the full specifications above, but including indicators for positions. On average, Party secretaries have a slightly higher rate of exiting the dataset than chairmen and a slightly higher probability of staying in their position than chairmen, all else equal, but these differences are small. Having concurrent positions did not increase the likelihood of promotion on their own, likely because concurrent positions with the chairman position increased in later years of the panel, due to a developmental trend of an increasing number of core central SOEs establishing boards of directors at the holding company level throughout the 2000s (Rosen, Leutert and Guo 2018, 21). We control for this possible time effect through the Xi administration control variable.</w:t>
      </w:r>
    </w:p>
    <w:p w14:paraId="05F95ACE" w14:textId="77777777" w:rsidR="00315077" w:rsidRDefault="00315077" w:rsidP="00315077">
      <w:pPr>
        <w:pStyle w:val="ListParagraph"/>
        <w:spacing w:line="240" w:lineRule="auto"/>
        <w:ind w:left="0" w:firstLine="720"/>
        <w:rPr>
          <w:rFonts w:ascii="Times New Roman" w:eastAsia="SimSun" w:hAnsi="Times New Roman" w:cs="Times New Roman"/>
          <w:sz w:val="24"/>
          <w:szCs w:val="24"/>
        </w:rPr>
      </w:pPr>
    </w:p>
    <w:p w14:paraId="4A1D41FD" w14:textId="77777777" w:rsidR="00315077" w:rsidRPr="003E4B63" w:rsidRDefault="00315077" w:rsidP="00315077">
      <w:pPr>
        <w:rPr>
          <w:u w:val="single"/>
        </w:rPr>
      </w:pPr>
      <w:r w:rsidRPr="003E4B63">
        <w:rPr>
          <w:u w:val="single"/>
        </w:rPr>
        <w:t>References</w:t>
      </w:r>
    </w:p>
    <w:p w14:paraId="5F7966BE" w14:textId="77777777" w:rsidR="00315077" w:rsidRPr="009770AB" w:rsidRDefault="00315077" w:rsidP="00315077">
      <w:pPr>
        <w:snapToGrid w:val="0"/>
        <w:ind w:left="720" w:hanging="720"/>
        <w:jc w:val="both"/>
        <w:rPr>
          <w:rFonts w:eastAsia="Songti TC"/>
        </w:rPr>
      </w:pPr>
      <w:r>
        <w:rPr>
          <w:rFonts w:eastAsia="Songti TC"/>
        </w:rPr>
        <w:t xml:space="preserve">Allison, Paul D. 1982. “Discrete-Time Methods for the Analysis of Event Histories.” </w:t>
      </w:r>
      <w:r>
        <w:rPr>
          <w:rFonts w:eastAsia="Songti TC"/>
          <w:i/>
          <w:iCs/>
        </w:rPr>
        <w:t>Sociological Methodology</w:t>
      </w:r>
      <w:r>
        <w:rPr>
          <w:rFonts w:eastAsia="Songti TC"/>
        </w:rPr>
        <w:t xml:space="preserve"> 13. 61-98.</w:t>
      </w:r>
    </w:p>
    <w:p w14:paraId="4F676D13" w14:textId="77777777" w:rsidR="00315077" w:rsidRPr="003E4B63" w:rsidRDefault="00315077" w:rsidP="00315077">
      <w:pPr>
        <w:snapToGrid w:val="0"/>
        <w:ind w:left="720" w:hanging="720"/>
        <w:jc w:val="both"/>
        <w:rPr>
          <w:rFonts w:eastAsia="Songti TC"/>
        </w:rPr>
      </w:pPr>
      <w:r w:rsidRPr="003E4B63">
        <w:rPr>
          <w:rFonts w:eastAsia="Songti TC"/>
        </w:rPr>
        <w:t xml:space="preserve">Bo, </w:t>
      </w:r>
      <w:proofErr w:type="spellStart"/>
      <w:r w:rsidRPr="003E4B63">
        <w:rPr>
          <w:rFonts w:eastAsia="Songti TC"/>
        </w:rPr>
        <w:t>Zhiyue</w:t>
      </w:r>
      <w:proofErr w:type="spellEnd"/>
      <w:r w:rsidRPr="003E4B63">
        <w:rPr>
          <w:rFonts w:eastAsia="Songti TC"/>
        </w:rPr>
        <w:t xml:space="preserve">. 2013. “Paths to the Top Leadership in China: The Case of Provincial Leaders.” In </w:t>
      </w:r>
      <w:proofErr w:type="spellStart"/>
      <w:r w:rsidRPr="003E4B63">
        <w:rPr>
          <w:rFonts w:eastAsia="Songti TC"/>
        </w:rPr>
        <w:t>Chien</w:t>
      </w:r>
      <w:proofErr w:type="spellEnd"/>
      <w:r w:rsidRPr="003E4B63">
        <w:rPr>
          <w:rFonts w:eastAsia="Songti TC"/>
        </w:rPr>
        <w:t xml:space="preserve">-wen Kou and </w:t>
      </w:r>
      <w:proofErr w:type="spellStart"/>
      <w:r w:rsidRPr="003E4B63">
        <w:rPr>
          <w:rFonts w:eastAsia="Songti TC"/>
        </w:rPr>
        <w:t>Xiaowei</w:t>
      </w:r>
      <w:proofErr w:type="spellEnd"/>
      <w:r w:rsidRPr="003E4B63">
        <w:rPr>
          <w:rFonts w:eastAsia="Songti TC"/>
        </w:rPr>
        <w:t xml:space="preserve"> Zang, eds., </w:t>
      </w:r>
      <w:r w:rsidRPr="003E4B63">
        <w:rPr>
          <w:rFonts w:eastAsia="Songti TC"/>
          <w:i/>
        </w:rPr>
        <w:t>Choosing China’s Leaders</w:t>
      </w:r>
      <w:r w:rsidRPr="003E4B63">
        <w:rPr>
          <w:rFonts w:eastAsia="Songti TC"/>
        </w:rPr>
        <w:t>. London: Routledge, 65-96.</w:t>
      </w:r>
    </w:p>
    <w:p w14:paraId="4DD05AE0" w14:textId="77777777" w:rsidR="00315077" w:rsidRPr="003E4B63" w:rsidRDefault="00315077" w:rsidP="00315077">
      <w:pPr>
        <w:snapToGrid w:val="0"/>
        <w:ind w:left="720" w:hanging="720"/>
        <w:jc w:val="both"/>
        <w:rPr>
          <w:rFonts w:eastAsia="Songti TC"/>
        </w:rPr>
      </w:pPr>
      <w:proofErr w:type="spellStart"/>
      <w:r w:rsidRPr="003E4B63">
        <w:rPr>
          <w:rFonts w:eastAsia="Songti TC"/>
        </w:rPr>
        <w:t>Brødsgaard</w:t>
      </w:r>
      <w:proofErr w:type="spellEnd"/>
      <w:r w:rsidRPr="003E4B63">
        <w:rPr>
          <w:rFonts w:eastAsia="Songti TC"/>
        </w:rPr>
        <w:t xml:space="preserve">, Kjeld Erik, Paul Hubbard, </w:t>
      </w:r>
      <w:proofErr w:type="spellStart"/>
      <w:r w:rsidRPr="003E4B63">
        <w:rPr>
          <w:rFonts w:eastAsia="Songti TC"/>
        </w:rPr>
        <w:t>Guilong</w:t>
      </w:r>
      <w:proofErr w:type="spellEnd"/>
      <w:r w:rsidRPr="003E4B63">
        <w:rPr>
          <w:rFonts w:eastAsia="Songti TC"/>
        </w:rPr>
        <w:t xml:space="preserve"> Cai and </w:t>
      </w:r>
      <w:proofErr w:type="spellStart"/>
      <w:r w:rsidRPr="003E4B63">
        <w:rPr>
          <w:rFonts w:eastAsia="Songti TC"/>
        </w:rPr>
        <w:t>Linlin</w:t>
      </w:r>
      <w:proofErr w:type="spellEnd"/>
      <w:r w:rsidRPr="003E4B63">
        <w:rPr>
          <w:rFonts w:eastAsia="Songti TC"/>
        </w:rPr>
        <w:t xml:space="preserve"> Zhang. 2017. “China’s SOE Executives: Drivers of or Obstacles to Reform?” </w:t>
      </w:r>
      <w:r w:rsidRPr="003E4B63">
        <w:rPr>
          <w:rFonts w:eastAsia="Songti TC"/>
          <w:i/>
        </w:rPr>
        <w:t>Copenhagen Journal of Asian Studies</w:t>
      </w:r>
      <w:r w:rsidRPr="003E4B63">
        <w:rPr>
          <w:rFonts w:eastAsia="Songti TC"/>
        </w:rPr>
        <w:t xml:space="preserve"> 35 (1): 52–75.</w:t>
      </w:r>
    </w:p>
    <w:p w14:paraId="4D3B2F92" w14:textId="77777777" w:rsidR="00315077" w:rsidRPr="003E4B63" w:rsidRDefault="00315077" w:rsidP="00315077">
      <w:pPr>
        <w:snapToGrid w:val="0"/>
        <w:ind w:left="720" w:hanging="720"/>
        <w:jc w:val="both"/>
        <w:rPr>
          <w:rFonts w:eastAsia="Songti TC"/>
        </w:rPr>
      </w:pPr>
      <w:r w:rsidRPr="003E4B63">
        <w:rPr>
          <w:rFonts w:eastAsia="Songti TC"/>
        </w:rPr>
        <w:t xml:space="preserve">Choi, </w:t>
      </w:r>
      <w:proofErr w:type="spellStart"/>
      <w:r w:rsidRPr="003E4B63">
        <w:rPr>
          <w:rFonts w:eastAsia="Songti TC"/>
        </w:rPr>
        <w:t>Eun</w:t>
      </w:r>
      <w:proofErr w:type="spellEnd"/>
      <w:r w:rsidRPr="003E4B63">
        <w:rPr>
          <w:rFonts w:eastAsia="Songti TC"/>
        </w:rPr>
        <w:t xml:space="preserve"> Kyong. 2012. “Patronage and Performance: Factors in the Political Mobility of Provincial Leaders in Post-Deng China.” </w:t>
      </w:r>
      <w:r w:rsidRPr="003E4B63">
        <w:rPr>
          <w:rFonts w:eastAsia="Songti TC"/>
          <w:i/>
        </w:rPr>
        <w:t>The China Quarterly</w:t>
      </w:r>
      <w:r w:rsidRPr="003E4B63">
        <w:rPr>
          <w:rFonts w:eastAsia="Songti TC"/>
        </w:rPr>
        <w:t xml:space="preserve"> 212: 965–981.</w:t>
      </w:r>
    </w:p>
    <w:p w14:paraId="729CD8F7" w14:textId="77777777" w:rsidR="00315077" w:rsidRPr="003E4B63" w:rsidRDefault="00315077" w:rsidP="00315077">
      <w:pPr>
        <w:snapToGrid w:val="0"/>
        <w:ind w:left="720" w:hanging="720"/>
        <w:jc w:val="both"/>
        <w:rPr>
          <w:rFonts w:eastAsia="Songti TC"/>
        </w:rPr>
      </w:pPr>
      <w:r w:rsidRPr="003E4B63">
        <w:rPr>
          <w:rFonts w:eastAsia="Songti TC"/>
        </w:rPr>
        <w:t xml:space="preserve">Huang, </w:t>
      </w:r>
      <w:proofErr w:type="spellStart"/>
      <w:r w:rsidRPr="003E4B63">
        <w:rPr>
          <w:rFonts w:eastAsia="Songti TC"/>
        </w:rPr>
        <w:t>Yasheng</w:t>
      </w:r>
      <w:proofErr w:type="spellEnd"/>
      <w:r w:rsidRPr="003E4B63">
        <w:rPr>
          <w:rFonts w:eastAsia="Songti TC"/>
        </w:rPr>
        <w:t xml:space="preserve">. 1999. </w:t>
      </w:r>
      <w:r w:rsidRPr="003E4B63">
        <w:rPr>
          <w:rFonts w:eastAsia="Songti TC"/>
          <w:i/>
        </w:rPr>
        <w:t>Inflation and Investment Controls in China: The Political Economy of Central-Local Relations During the Reform Era</w:t>
      </w:r>
      <w:r w:rsidRPr="003E4B63">
        <w:rPr>
          <w:rFonts w:eastAsia="Songti TC"/>
        </w:rPr>
        <w:t>. New York: Cambridge University Press.</w:t>
      </w:r>
    </w:p>
    <w:p w14:paraId="063C6F46" w14:textId="77777777" w:rsidR="00315077" w:rsidRPr="003E4B63" w:rsidRDefault="00315077" w:rsidP="00315077">
      <w:pPr>
        <w:snapToGrid w:val="0"/>
        <w:ind w:left="720" w:hanging="720"/>
        <w:jc w:val="both"/>
        <w:rPr>
          <w:rFonts w:eastAsia="Songti TC"/>
        </w:rPr>
      </w:pPr>
      <w:r w:rsidRPr="003E4B63">
        <w:rPr>
          <w:rFonts w:eastAsia="Songti TC"/>
        </w:rPr>
        <w:t xml:space="preserve">Landry, Pierre F. 2008. </w:t>
      </w:r>
      <w:r w:rsidRPr="003E4B63">
        <w:rPr>
          <w:rFonts w:eastAsia="Songti TC"/>
          <w:i/>
        </w:rPr>
        <w:t>Decentralized Authoritarianism in China: The Communist Party’s Control of Local Elites in the Post-Mao Era</w:t>
      </w:r>
      <w:r w:rsidRPr="003E4B63">
        <w:rPr>
          <w:rFonts w:eastAsia="Songti TC"/>
        </w:rPr>
        <w:t xml:space="preserve">. New York: Cambridge University Press. </w:t>
      </w:r>
    </w:p>
    <w:p w14:paraId="57858780" w14:textId="77777777" w:rsidR="00315077" w:rsidRPr="003E4B63" w:rsidRDefault="00315077" w:rsidP="00315077">
      <w:pPr>
        <w:snapToGrid w:val="0"/>
        <w:ind w:left="720" w:hanging="720"/>
        <w:jc w:val="both"/>
        <w:rPr>
          <w:rFonts w:eastAsia="Songti TC"/>
        </w:rPr>
      </w:pPr>
      <w:r w:rsidRPr="003E4B63">
        <w:rPr>
          <w:rFonts w:eastAsia="Songti TC"/>
        </w:rPr>
        <w:t>Li, Hongbin, and Li-</w:t>
      </w:r>
      <w:proofErr w:type="gramStart"/>
      <w:r w:rsidRPr="003E4B63">
        <w:rPr>
          <w:rFonts w:eastAsia="Songti TC"/>
        </w:rPr>
        <w:t>An</w:t>
      </w:r>
      <w:proofErr w:type="gramEnd"/>
      <w:r w:rsidRPr="003E4B63">
        <w:rPr>
          <w:rFonts w:eastAsia="Songti TC"/>
        </w:rPr>
        <w:t xml:space="preserve"> Zhou. 2005. “Political Turnover and Economic Performance: The Incentive Role of Personnel Control in China.” </w:t>
      </w:r>
      <w:r w:rsidRPr="003E4B63">
        <w:rPr>
          <w:rFonts w:eastAsia="Songti TC"/>
          <w:i/>
        </w:rPr>
        <w:t>Journal of Public Economics</w:t>
      </w:r>
      <w:r w:rsidRPr="003E4B63">
        <w:rPr>
          <w:rFonts w:eastAsia="Songti TC"/>
        </w:rPr>
        <w:t xml:space="preserve"> 89: 1743-62. </w:t>
      </w:r>
    </w:p>
    <w:p w14:paraId="38AC26BF" w14:textId="77777777" w:rsidR="00315077" w:rsidRPr="003E4B63" w:rsidRDefault="00315077" w:rsidP="00315077">
      <w:pPr>
        <w:snapToGrid w:val="0"/>
        <w:ind w:left="720" w:hanging="720"/>
        <w:jc w:val="both"/>
        <w:rPr>
          <w:rFonts w:eastAsia="Songti TC"/>
        </w:rPr>
      </w:pPr>
      <w:r w:rsidRPr="003E4B63">
        <w:rPr>
          <w:rFonts w:eastAsia="Songti TC"/>
        </w:rPr>
        <w:t xml:space="preserve">Rosen, Daniel H., Wendy Leutert, and Shan Guo. 2018. </w:t>
      </w:r>
      <w:r w:rsidRPr="003E4B63">
        <w:rPr>
          <w:rFonts w:eastAsia="Songti TC"/>
          <w:i/>
        </w:rPr>
        <w:t>Missing Link: Corporate Governance in China’s State Sector</w:t>
      </w:r>
      <w:r w:rsidRPr="003E4B63">
        <w:rPr>
          <w:rFonts w:eastAsia="Songti TC"/>
        </w:rPr>
        <w:t xml:space="preserve">. San Francisco: Asia Society of Northern California. </w:t>
      </w:r>
    </w:p>
    <w:p w14:paraId="3F5740C8" w14:textId="77777777" w:rsidR="00315077" w:rsidRPr="003E4B63" w:rsidRDefault="00315077" w:rsidP="00315077">
      <w:pPr>
        <w:snapToGrid w:val="0"/>
        <w:ind w:left="720" w:hanging="720"/>
        <w:jc w:val="both"/>
        <w:rPr>
          <w:rFonts w:eastAsia="Songti TC"/>
        </w:rPr>
      </w:pPr>
      <w:r w:rsidRPr="003E4B63">
        <w:rPr>
          <w:rFonts w:eastAsia="Songti TC"/>
        </w:rPr>
        <w:lastRenderedPageBreak/>
        <w:t xml:space="preserve">Shih, Victor C., Christopher Adolph and </w:t>
      </w:r>
      <w:proofErr w:type="spellStart"/>
      <w:r w:rsidRPr="003E4B63">
        <w:rPr>
          <w:rFonts w:eastAsia="Songti TC"/>
        </w:rPr>
        <w:t>Mingxing</w:t>
      </w:r>
      <w:proofErr w:type="spellEnd"/>
      <w:r w:rsidRPr="003E4B63">
        <w:rPr>
          <w:rFonts w:eastAsia="Songti TC"/>
        </w:rPr>
        <w:t xml:space="preserve"> Liu. 2012. “Getting Ahead in the Communist Party: Explaining the Advancement of Central Committee Members in China.” </w:t>
      </w:r>
      <w:r w:rsidRPr="003E4B63">
        <w:rPr>
          <w:rFonts w:eastAsia="Songti TC"/>
          <w:i/>
        </w:rPr>
        <w:t>American Political Science Review</w:t>
      </w:r>
      <w:r w:rsidRPr="003E4B63">
        <w:rPr>
          <w:rFonts w:eastAsia="Songti TC"/>
        </w:rPr>
        <w:t xml:space="preserve"> 106 (1): 166-187.</w:t>
      </w:r>
    </w:p>
    <w:p w14:paraId="115D18DE" w14:textId="77777777" w:rsidR="00315077" w:rsidRDefault="00315077" w:rsidP="00315077">
      <w:pPr>
        <w:spacing w:after="160"/>
        <w:rPr>
          <w:rFonts w:eastAsia="SimSun"/>
          <w:b/>
        </w:rPr>
        <w:sectPr w:rsidR="00315077" w:rsidSect="00315077">
          <w:footerReference w:type="default" r:id="rId23"/>
          <w:footerReference w:type="first" r:id="rId24"/>
          <w:type w:val="continuous"/>
          <w:pgSz w:w="12240" w:h="15840"/>
          <w:pgMar w:top="1440" w:right="1440" w:bottom="1440" w:left="1440" w:header="720" w:footer="720" w:gutter="0"/>
          <w:cols w:space="720"/>
          <w:docGrid w:linePitch="360"/>
        </w:sectPr>
      </w:pPr>
    </w:p>
    <w:p w14:paraId="3B8FB8D1" w14:textId="77777777" w:rsidR="00315077" w:rsidRPr="00D75E5D" w:rsidRDefault="00315077" w:rsidP="00315077">
      <w:pPr>
        <w:pStyle w:val="ListParagraph"/>
        <w:spacing w:line="240" w:lineRule="auto"/>
        <w:ind w:left="0"/>
        <w:rPr>
          <w:rFonts w:ascii="Times New Roman" w:eastAsia="SimSun" w:hAnsi="Times New Roman" w:cs="Times New Roman"/>
          <w:sz w:val="24"/>
          <w:szCs w:val="24"/>
          <w:u w:val="single"/>
        </w:rPr>
      </w:pPr>
      <w:r w:rsidRPr="00D75E5D">
        <w:rPr>
          <w:rFonts w:ascii="Times New Roman" w:eastAsia="SimSun" w:hAnsi="Times New Roman" w:cs="Times New Roman"/>
          <w:sz w:val="24"/>
          <w:szCs w:val="24"/>
          <w:u w:val="single"/>
        </w:rPr>
        <w:lastRenderedPageBreak/>
        <w:t>Tables and Figures</w:t>
      </w:r>
    </w:p>
    <w:p w14:paraId="2E757151" w14:textId="1FA2A106" w:rsidR="00315077" w:rsidRPr="00127C2E" w:rsidRDefault="00315077" w:rsidP="00127C2E">
      <w:pPr>
        <w:pStyle w:val="ListParagraph"/>
        <w:spacing w:after="0" w:line="240" w:lineRule="auto"/>
        <w:ind w:left="0"/>
        <w:jc w:val="center"/>
        <w:rPr>
          <w:rFonts w:ascii="Times New Roman" w:eastAsia="SimSun" w:hAnsi="Times New Roman" w:cs="Times New Roman"/>
          <w:b/>
          <w:bCs/>
          <w:sz w:val="24"/>
          <w:szCs w:val="24"/>
        </w:rPr>
      </w:pPr>
      <w:r w:rsidRPr="00127C2E">
        <w:rPr>
          <w:rFonts w:ascii="Times New Roman" w:eastAsia="SimSun" w:hAnsi="Times New Roman" w:cs="Times New Roman"/>
          <w:b/>
          <w:bCs/>
          <w:sz w:val="24"/>
          <w:szCs w:val="24"/>
        </w:rPr>
        <w:t>Table A1</w:t>
      </w:r>
      <w:r w:rsidR="00127C2E" w:rsidRPr="00127C2E">
        <w:rPr>
          <w:rFonts w:ascii="Times New Roman" w:eastAsia="SimSun" w:hAnsi="Times New Roman" w:cs="Times New Roman"/>
          <w:b/>
          <w:bCs/>
          <w:sz w:val="24"/>
          <w:szCs w:val="24"/>
        </w:rPr>
        <w:t xml:space="preserve">: </w:t>
      </w:r>
      <w:r w:rsidRPr="00127C2E">
        <w:rPr>
          <w:rFonts w:ascii="Times New Roman" w:eastAsia="SimSun" w:hAnsi="Times New Roman" w:cs="Times New Roman"/>
          <w:b/>
          <w:bCs/>
          <w:sz w:val="24"/>
          <w:szCs w:val="24"/>
        </w:rPr>
        <w:t>List and Summary Statistics of Central SOEs Included in Sample</w:t>
      </w:r>
    </w:p>
    <w:p w14:paraId="3D082B43" w14:textId="77777777" w:rsidR="00127C2E" w:rsidRPr="00971912" w:rsidRDefault="00127C2E" w:rsidP="00127C2E">
      <w:pPr>
        <w:pStyle w:val="ListParagraph"/>
        <w:spacing w:after="0" w:line="240" w:lineRule="auto"/>
        <w:ind w:left="0"/>
        <w:jc w:val="center"/>
        <w:rPr>
          <w:rFonts w:ascii="Times New Roman" w:eastAsia="SimSun" w:hAnsi="Times New Roman" w:cs="Times New Roman"/>
          <w:sz w:val="24"/>
          <w:szCs w:val="24"/>
        </w:rPr>
      </w:pPr>
    </w:p>
    <w:tbl>
      <w:tblPr>
        <w:tblW w:w="5000" w:type="pct"/>
        <w:tblLook w:val="04A0" w:firstRow="1" w:lastRow="0" w:firstColumn="1" w:lastColumn="0" w:noHBand="0" w:noVBand="1"/>
      </w:tblPr>
      <w:tblGrid>
        <w:gridCol w:w="5205"/>
        <w:gridCol w:w="3761"/>
        <w:gridCol w:w="1611"/>
        <w:gridCol w:w="1183"/>
        <w:gridCol w:w="1416"/>
      </w:tblGrid>
      <w:tr w:rsidR="00315077" w:rsidRPr="00D75E5D" w14:paraId="453BA91A" w14:textId="77777777" w:rsidTr="00315077">
        <w:trPr>
          <w:trHeight w:val="300"/>
        </w:trPr>
        <w:tc>
          <w:tcPr>
            <w:tcW w:w="2003" w:type="pct"/>
            <w:tcBorders>
              <w:top w:val="nil"/>
              <w:left w:val="nil"/>
              <w:bottom w:val="single" w:sz="4" w:space="0" w:color="auto"/>
              <w:right w:val="nil"/>
            </w:tcBorders>
            <w:shd w:val="clear" w:color="auto" w:fill="auto"/>
            <w:noWrap/>
            <w:vAlign w:val="bottom"/>
          </w:tcPr>
          <w:p w14:paraId="6A8903BE" w14:textId="77777777" w:rsidR="00315077" w:rsidRPr="00971912" w:rsidRDefault="00315077" w:rsidP="00315077">
            <w:pPr>
              <w:rPr>
                <w:color w:val="000000"/>
                <w:sz w:val="20"/>
                <w:szCs w:val="20"/>
              </w:rPr>
            </w:pPr>
            <w:r w:rsidRPr="00971912">
              <w:rPr>
                <w:color w:val="000000"/>
                <w:sz w:val="20"/>
                <w:szCs w:val="20"/>
              </w:rPr>
              <w:t>Name of SOE Business Group</w:t>
            </w:r>
          </w:p>
        </w:tc>
        <w:tc>
          <w:tcPr>
            <w:tcW w:w="1455" w:type="pct"/>
            <w:tcBorders>
              <w:top w:val="nil"/>
              <w:left w:val="nil"/>
              <w:bottom w:val="single" w:sz="4" w:space="0" w:color="auto"/>
              <w:right w:val="nil"/>
            </w:tcBorders>
          </w:tcPr>
          <w:p w14:paraId="25618FA1" w14:textId="77777777" w:rsidR="00315077" w:rsidRPr="00971912" w:rsidRDefault="00315077" w:rsidP="00315077">
            <w:pPr>
              <w:rPr>
                <w:color w:val="000000"/>
                <w:sz w:val="20"/>
                <w:szCs w:val="20"/>
              </w:rPr>
            </w:pPr>
            <w:r w:rsidRPr="00971912">
              <w:rPr>
                <w:color w:val="000000"/>
                <w:sz w:val="20"/>
                <w:szCs w:val="20"/>
              </w:rPr>
              <w:t>Industry*</w:t>
            </w:r>
          </w:p>
        </w:tc>
        <w:tc>
          <w:tcPr>
            <w:tcW w:w="639" w:type="pct"/>
            <w:tcBorders>
              <w:top w:val="nil"/>
              <w:left w:val="nil"/>
              <w:bottom w:val="single" w:sz="4" w:space="0" w:color="auto"/>
              <w:right w:val="nil"/>
            </w:tcBorders>
            <w:shd w:val="clear" w:color="auto" w:fill="auto"/>
            <w:noWrap/>
            <w:vAlign w:val="bottom"/>
          </w:tcPr>
          <w:p w14:paraId="2ACFD3C7" w14:textId="77777777" w:rsidR="00315077" w:rsidRPr="00971912" w:rsidRDefault="00315077" w:rsidP="00315077">
            <w:pPr>
              <w:rPr>
                <w:color w:val="000000"/>
                <w:sz w:val="20"/>
                <w:szCs w:val="20"/>
              </w:rPr>
            </w:pPr>
            <w:r w:rsidRPr="00971912">
              <w:rPr>
                <w:color w:val="000000"/>
                <w:sz w:val="20"/>
                <w:szCs w:val="20"/>
              </w:rPr>
              <w:t>Years in Dataset</w:t>
            </w:r>
          </w:p>
        </w:tc>
        <w:tc>
          <w:tcPr>
            <w:tcW w:w="376" w:type="pct"/>
            <w:tcBorders>
              <w:top w:val="nil"/>
              <w:left w:val="nil"/>
              <w:bottom w:val="single" w:sz="4" w:space="0" w:color="auto"/>
              <w:right w:val="nil"/>
            </w:tcBorders>
            <w:shd w:val="clear" w:color="auto" w:fill="auto"/>
            <w:noWrap/>
            <w:vAlign w:val="bottom"/>
          </w:tcPr>
          <w:p w14:paraId="01FC4D4B" w14:textId="77777777" w:rsidR="00315077" w:rsidRPr="00971912" w:rsidRDefault="00315077" w:rsidP="00315077">
            <w:pPr>
              <w:jc w:val="right"/>
              <w:rPr>
                <w:color w:val="000000"/>
                <w:sz w:val="20"/>
                <w:szCs w:val="20"/>
              </w:rPr>
            </w:pPr>
            <w:r w:rsidRPr="00971912">
              <w:rPr>
                <w:color w:val="000000"/>
                <w:sz w:val="20"/>
                <w:szCs w:val="20"/>
              </w:rPr>
              <w:t>Av. ROA**</w:t>
            </w:r>
          </w:p>
        </w:tc>
        <w:tc>
          <w:tcPr>
            <w:tcW w:w="527" w:type="pct"/>
            <w:tcBorders>
              <w:top w:val="nil"/>
              <w:left w:val="nil"/>
              <w:bottom w:val="single" w:sz="4" w:space="0" w:color="auto"/>
              <w:right w:val="nil"/>
            </w:tcBorders>
            <w:shd w:val="clear" w:color="auto" w:fill="auto"/>
            <w:noWrap/>
            <w:vAlign w:val="bottom"/>
          </w:tcPr>
          <w:p w14:paraId="472DDB1C" w14:textId="77777777" w:rsidR="00315077" w:rsidRPr="00971912" w:rsidRDefault="00315077" w:rsidP="00315077">
            <w:pPr>
              <w:jc w:val="right"/>
              <w:rPr>
                <w:color w:val="000000"/>
                <w:sz w:val="20"/>
                <w:szCs w:val="20"/>
              </w:rPr>
            </w:pPr>
            <w:r w:rsidRPr="00971912">
              <w:rPr>
                <w:color w:val="000000"/>
                <w:sz w:val="20"/>
                <w:szCs w:val="20"/>
              </w:rPr>
              <w:t>Av. Diff. ROA</w:t>
            </w:r>
          </w:p>
        </w:tc>
      </w:tr>
      <w:tr w:rsidR="00315077" w:rsidRPr="00D75E5D" w14:paraId="7F05F4DA" w14:textId="77777777" w:rsidTr="00315077">
        <w:trPr>
          <w:trHeight w:val="300"/>
        </w:trPr>
        <w:tc>
          <w:tcPr>
            <w:tcW w:w="2003" w:type="pct"/>
            <w:tcBorders>
              <w:top w:val="single" w:sz="4" w:space="0" w:color="auto"/>
              <w:left w:val="nil"/>
              <w:bottom w:val="nil"/>
              <w:right w:val="nil"/>
            </w:tcBorders>
            <w:shd w:val="clear" w:color="auto" w:fill="auto"/>
            <w:noWrap/>
            <w:vAlign w:val="bottom"/>
            <w:hideMark/>
          </w:tcPr>
          <w:p w14:paraId="1CD31274" w14:textId="77777777" w:rsidR="00315077" w:rsidRPr="00971912" w:rsidRDefault="00315077" w:rsidP="00315077">
            <w:pPr>
              <w:rPr>
                <w:color w:val="000000"/>
                <w:sz w:val="20"/>
                <w:szCs w:val="20"/>
              </w:rPr>
            </w:pPr>
            <w:r w:rsidRPr="00971912">
              <w:rPr>
                <w:color w:val="000000"/>
                <w:sz w:val="20"/>
                <w:szCs w:val="20"/>
              </w:rPr>
              <w:t>China National Nuclear Corporation</w:t>
            </w:r>
          </w:p>
        </w:tc>
        <w:tc>
          <w:tcPr>
            <w:tcW w:w="1455" w:type="pct"/>
            <w:tcBorders>
              <w:top w:val="single" w:sz="4" w:space="0" w:color="auto"/>
              <w:left w:val="nil"/>
              <w:bottom w:val="nil"/>
              <w:right w:val="nil"/>
            </w:tcBorders>
            <w:vAlign w:val="bottom"/>
          </w:tcPr>
          <w:p w14:paraId="6877B4F8" w14:textId="77777777" w:rsidR="00315077" w:rsidRPr="00971912" w:rsidRDefault="00315077" w:rsidP="00315077">
            <w:pPr>
              <w:rPr>
                <w:color w:val="000000"/>
                <w:sz w:val="20"/>
                <w:szCs w:val="20"/>
              </w:rPr>
            </w:pPr>
            <w:r w:rsidRPr="00971912">
              <w:rPr>
                <w:color w:val="000000"/>
                <w:sz w:val="20"/>
                <w:szCs w:val="20"/>
              </w:rPr>
              <w:t>Comprehensive industry</w:t>
            </w:r>
          </w:p>
        </w:tc>
        <w:tc>
          <w:tcPr>
            <w:tcW w:w="639" w:type="pct"/>
            <w:tcBorders>
              <w:top w:val="single" w:sz="4" w:space="0" w:color="auto"/>
              <w:left w:val="nil"/>
              <w:bottom w:val="nil"/>
              <w:right w:val="nil"/>
            </w:tcBorders>
            <w:shd w:val="clear" w:color="auto" w:fill="auto"/>
            <w:noWrap/>
            <w:vAlign w:val="bottom"/>
            <w:hideMark/>
          </w:tcPr>
          <w:p w14:paraId="53667D36"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single" w:sz="4" w:space="0" w:color="auto"/>
              <w:left w:val="nil"/>
              <w:bottom w:val="nil"/>
              <w:right w:val="nil"/>
            </w:tcBorders>
            <w:shd w:val="clear" w:color="auto" w:fill="auto"/>
            <w:noWrap/>
            <w:vAlign w:val="bottom"/>
            <w:hideMark/>
          </w:tcPr>
          <w:p w14:paraId="1DDE68C5" w14:textId="77777777" w:rsidR="00315077" w:rsidRPr="00971912" w:rsidRDefault="00315077" w:rsidP="00315077">
            <w:pPr>
              <w:jc w:val="right"/>
              <w:rPr>
                <w:color w:val="000000"/>
                <w:sz w:val="20"/>
                <w:szCs w:val="20"/>
              </w:rPr>
            </w:pPr>
            <w:r w:rsidRPr="00971912">
              <w:rPr>
                <w:color w:val="000000"/>
                <w:sz w:val="20"/>
                <w:szCs w:val="20"/>
              </w:rPr>
              <w:t>0.44</w:t>
            </w:r>
          </w:p>
        </w:tc>
        <w:tc>
          <w:tcPr>
            <w:tcW w:w="527" w:type="pct"/>
            <w:tcBorders>
              <w:top w:val="single" w:sz="4" w:space="0" w:color="auto"/>
              <w:left w:val="nil"/>
              <w:bottom w:val="nil"/>
              <w:right w:val="nil"/>
            </w:tcBorders>
            <w:shd w:val="clear" w:color="auto" w:fill="auto"/>
            <w:noWrap/>
            <w:vAlign w:val="bottom"/>
            <w:hideMark/>
          </w:tcPr>
          <w:p w14:paraId="78661379" w14:textId="77777777" w:rsidR="00315077" w:rsidRPr="00971912" w:rsidRDefault="00315077" w:rsidP="00315077">
            <w:pPr>
              <w:jc w:val="right"/>
              <w:rPr>
                <w:color w:val="000000"/>
                <w:sz w:val="20"/>
                <w:szCs w:val="20"/>
              </w:rPr>
            </w:pPr>
            <w:r w:rsidRPr="00971912">
              <w:rPr>
                <w:color w:val="000000"/>
                <w:sz w:val="20"/>
                <w:szCs w:val="20"/>
              </w:rPr>
              <w:t>0.0241</w:t>
            </w:r>
          </w:p>
        </w:tc>
      </w:tr>
      <w:tr w:rsidR="00315077" w:rsidRPr="00D75E5D" w14:paraId="015E7E8C" w14:textId="77777777" w:rsidTr="00315077">
        <w:trPr>
          <w:trHeight w:val="300"/>
        </w:trPr>
        <w:tc>
          <w:tcPr>
            <w:tcW w:w="2003" w:type="pct"/>
            <w:tcBorders>
              <w:top w:val="nil"/>
              <w:left w:val="nil"/>
              <w:bottom w:val="nil"/>
              <w:right w:val="nil"/>
            </w:tcBorders>
            <w:shd w:val="clear" w:color="auto" w:fill="auto"/>
            <w:noWrap/>
            <w:vAlign w:val="bottom"/>
            <w:hideMark/>
          </w:tcPr>
          <w:p w14:paraId="228F3E9E" w14:textId="77777777" w:rsidR="00315077" w:rsidRPr="00971912" w:rsidRDefault="00315077" w:rsidP="00315077">
            <w:pPr>
              <w:rPr>
                <w:color w:val="000000"/>
                <w:sz w:val="20"/>
                <w:szCs w:val="20"/>
              </w:rPr>
            </w:pPr>
            <w:r w:rsidRPr="00971912">
              <w:rPr>
                <w:color w:val="000000"/>
                <w:sz w:val="20"/>
                <w:szCs w:val="20"/>
              </w:rPr>
              <w:t>China Nuclear Industry Construction Corporation</w:t>
            </w:r>
          </w:p>
        </w:tc>
        <w:tc>
          <w:tcPr>
            <w:tcW w:w="1455" w:type="pct"/>
            <w:tcBorders>
              <w:top w:val="nil"/>
              <w:left w:val="nil"/>
              <w:bottom w:val="nil"/>
              <w:right w:val="nil"/>
            </w:tcBorders>
            <w:vAlign w:val="bottom"/>
          </w:tcPr>
          <w:p w14:paraId="6C61EAC5" w14:textId="77777777" w:rsidR="00315077" w:rsidRPr="00971912" w:rsidRDefault="00315077" w:rsidP="00315077">
            <w:pPr>
              <w:rPr>
                <w:color w:val="000000"/>
                <w:sz w:val="20"/>
                <w:szCs w:val="20"/>
              </w:rPr>
            </w:pPr>
            <w:r w:rsidRPr="00971912">
              <w:rPr>
                <w:color w:val="000000"/>
                <w:sz w:val="20"/>
                <w:szCs w:val="20"/>
              </w:rPr>
              <w:t>Architecture and Engineering</w:t>
            </w:r>
          </w:p>
        </w:tc>
        <w:tc>
          <w:tcPr>
            <w:tcW w:w="639" w:type="pct"/>
            <w:tcBorders>
              <w:top w:val="nil"/>
              <w:left w:val="nil"/>
              <w:bottom w:val="nil"/>
              <w:right w:val="nil"/>
            </w:tcBorders>
            <w:shd w:val="clear" w:color="auto" w:fill="auto"/>
            <w:noWrap/>
            <w:vAlign w:val="bottom"/>
            <w:hideMark/>
          </w:tcPr>
          <w:p w14:paraId="03786A53"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3D93B537" w14:textId="77777777" w:rsidR="00315077" w:rsidRPr="00971912" w:rsidRDefault="00315077" w:rsidP="00315077">
            <w:pPr>
              <w:jc w:val="right"/>
              <w:rPr>
                <w:color w:val="000000"/>
                <w:sz w:val="20"/>
                <w:szCs w:val="20"/>
              </w:rPr>
            </w:pPr>
            <w:r w:rsidRPr="00971912">
              <w:rPr>
                <w:color w:val="000000"/>
                <w:sz w:val="20"/>
                <w:szCs w:val="20"/>
              </w:rPr>
              <w:t>0.16</w:t>
            </w:r>
          </w:p>
        </w:tc>
        <w:tc>
          <w:tcPr>
            <w:tcW w:w="527" w:type="pct"/>
            <w:tcBorders>
              <w:top w:val="nil"/>
              <w:left w:val="nil"/>
              <w:bottom w:val="nil"/>
              <w:right w:val="nil"/>
            </w:tcBorders>
            <w:shd w:val="clear" w:color="auto" w:fill="auto"/>
            <w:noWrap/>
            <w:vAlign w:val="bottom"/>
            <w:hideMark/>
          </w:tcPr>
          <w:p w14:paraId="669BC842" w14:textId="77777777" w:rsidR="00315077" w:rsidRPr="00971912" w:rsidRDefault="00315077" w:rsidP="00315077">
            <w:pPr>
              <w:jc w:val="right"/>
              <w:rPr>
                <w:color w:val="000000"/>
                <w:sz w:val="20"/>
                <w:szCs w:val="20"/>
              </w:rPr>
            </w:pPr>
            <w:r w:rsidRPr="00971912">
              <w:rPr>
                <w:color w:val="000000"/>
                <w:sz w:val="20"/>
                <w:szCs w:val="20"/>
              </w:rPr>
              <w:t>-0.0095</w:t>
            </w:r>
          </w:p>
        </w:tc>
      </w:tr>
      <w:tr w:rsidR="00315077" w:rsidRPr="00D75E5D" w14:paraId="1E385ECF" w14:textId="77777777" w:rsidTr="00315077">
        <w:trPr>
          <w:trHeight w:val="300"/>
        </w:trPr>
        <w:tc>
          <w:tcPr>
            <w:tcW w:w="2003" w:type="pct"/>
            <w:tcBorders>
              <w:top w:val="nil"/>
              <w:left w:val="nil"/>
              <w:bottom w:val="nil"/>
              <w:right w:val="nil"/>
            </w:tcBorders>
            <w:shd w:val="clear" w:color="auto" w:fill="auto"/>
            <w:noWrap/>
            <w:vAlign w:val="bottom"/>
            <w:hideMark/>
          </w:tcPr>
          <w:p w14:paraId="212969EC" w14:textId="77777777" w:rsidR="00315077" w:rsidRPr="00971912" w:rsidRDefault="00315077" w:rsidP="00315077">
            <w:pPr>
              <w:rPr>
                <w:color w:val="000000"/>
                <w:sz w:val="20"/>
                <w:szCs w:val="20"/>
              </w:rPr>
            </w:pPr>
            <w:r w:rsidRPr="00971912">
              <w:rPr>
                <w:color w:val="000000"/>
                <w:sz w:val="20"/>
                <w:szCs w:val="20"/>
              </w:rPr>
              <w:t>China Aerospace Science and Technology Corporation</w:t>
            </w:r>
          </w:p>
        </w:tc>
        <w:tc>
          <w:tcPr>
            <w:tcW w:w="1455" w:type="pct"/>
            <w:tcBorders>
              <w:top w:val="nil"/>
              <w:left w:val="nil"/>
              <w:bottom w:val="nil"/>
              <w:right w:val="nil"/>
            </w:tcBorders>
            <w:vAlign w:val="bottom"/>
          </w:tcPr>
          <w:p w14:paraId="4CD14AE4" w14:textId="77777777" w:rsidR="00315077" w:rsidRPr="00971912" w:rsidRDefault="00315077" w:rsidP="00315077">
            <w:pPr>
              <w:rPr>
                <w:color w:val="000000"/>
                <w:sz w:val="20"/>
                <w:szCs w:val="20"/>
              </w:rPr>
            </w:pPr>
            <w:r w:rsidRPr="00971912">
              <w:rPr>
                <w:color w:val="000000"/>
                <w:sz w:val="20"/>
                <w:szCs w:val="20"/>
              </w:rPr>
              <w:t>Aerospace and Defense</w:t>
            </w:r>
          </w:p>
        </w:tc>
        <w:tc>
          <w:tcPr>
            <w:tcW w:w="639" w:type="pct"/>
            <w:tcBorders>
              <w:top w:val="nil"/>
              <w:left w:val="nil"/>
              <w:bottom w:val="nil"/>
              <w:right w:val="nil"/>
            </w:tcBorders>
            <w:shd w:val="clear" w:color="auto" w:fill="auto"/>
            <w:noWrap/>
            <w:vAlign w:val="bottom"/>
            <w:hideMark/>
          </w:tcPr>
          <w:p w14:paraId="1432EF19"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010B6136" w14:textId="77777777" w:rsidR="00315077" w:rsidRPr="00971912" w:rsidRDefault="00315077" w:rsidP="00315077">
            <w:pPr>
              <w:jc w:val="right"/>
              <w:rPr>
                <w:color w:val="000000"/>
                <w:sz w:val="20"/>
                <w:szCs w:val="20"/>
              </w:rPr>
            </w:pPr>
            <w:r w:rsidRPr="00971912">
              <w:rPr>
                <w:color w:val="000000"/>
                <w:sz w:val="20"/>
                <w:szCs w:val="20"/>
              </w:rPr>
              <w:t>0.45</w:t>
            </w:r>
          </w:p>
        </w:tc>
        <w:tc>
          <w:tcPr>
            <w:tcW w:w="527" w:type="pct"/>
            <w:tcBorders>
              <w:top w:val="nil"/>
              <w:left w:val="nil"/>
              <w:bottom w:val="nil"/>
              <w:right w:val="nil"/>
            </w:tcBorders>
            <w:shd w:val="clear" w:color="auto" w:fill="auto"/>
            <w:noWrap/>
            <w:vAlign w:val="bottom"/>
            <w:hideMark/>
          </w:tcPr>
          <w:p w14:paraId="2C9D00E7" w14:textId="77777777" w:rsidR="00315077" w:rsidRPr="00971912" w:rsidRDefault="00315077" w:rsidP="00315077">
            <w:pPr>
              <w:jc w:val="right"/>
              <w:rPr>
                <w:color w:val="000000"/>
                <w:sz w:val="20"/>
                <w:szCs w:val="20"/>
              </w:rPr>
            </w:pPr>
            <w:r w:rsidRPr="00971912">
              <w:rPr>
                <w:color w:val="000000"/>
                <w:sz w:val="20"/>
                <w:szCs w:val="20"/>
              </w:rPr>
              <w:t>-0.0064</w:t>
            </w:r>
          </w:p>
        </w:tc>
      </w:tr>
      <w:tr w:rsidR="00315077" w:rsidRPr="00D75E5D" w14:paraId="4FAE16E3" w14:textId="77777777" w:rsidTr="00315077">
        <w:trPr>
          <w:trHeight w:val="300"/>
        </w:trPr>
        <w:tc>
          <w:tcPr>
            <w:tcW w:w="2003" w:type="pct"/>
            <w:tcBorders>
              <w:top w:val="nil"/>
              <w:left w:val="nil"/>
              <w:bottom w:val="nil"/>
              <w:right w:val="nil"/>
            </w:tcBorders>
            <w:shd w:val="clear" w:color="auto" w:fill="auto"/>
            <w:noWrap/>
            <w:vAlign w:val="bottom"/>
            <w:hideMark/>
          </w:tcPr>
          <w:p w14:paraId="7399F5B6" w14:textId="77777777" w:rsidR="00315077" w:rsidRPr="00971912" w:rsidRDefault="00315077" w:rsidP="00315077">
            <w:pPr>
              <w:rPr>
                <w:color w:val="000000"/>
                <w:sz w:val="20"/>
                <w:szCs w:val="20"/>
              </w:rPr>
            </w:pPr>
            <w:r w:rsidRPr="00971912">
              <w:rPr>
                <w:color w:val="000000"/>
                <w:sz w:val="20"/>
                <w:szCs w:val="20"/>
              </w:rPr>
              <w:t>China Aerospace Science and Industry Corporation</w:t>
            </w:r>
          </w:p>
        </w:tc>
        <w:tc>
          <w:tcPr>
            <w:tcW w:w="1455" w:type="pct"/>
            <w:tcBorders>
              <w:top w:val="nil"/>
              <w:left w:val="nil"/>
              <w:bottom w:val="nil"/>
              <w:right w:val="nil"/>
            </w:tcBorders>
            <w:vAlign w:val="bottom"/>
          </w:tcPr>
          <w:p w14:paraId="74744CC0" w14:textId="77777777" w:rsidR="00315077" w:rsidRPr="00971912" w:rsidRDefault="00315077" w:rsidP="00315077">
            <w:pPr>
              <w:rPr>
                <w:color w:val="000000"/>
                <w:sz w:val="20"/>
                <w:szCs w:val="20"/>
              </w:rPr>
            </w:pPr>
            <w:r w:rsidRPr="00971912">
              <w:rPr>
                <w:color w:val="000000"/>
                <w:sz w:val="20"/>
                <w:szCs w:val="20"/>
              </w:rPr>
              <w:t>Aerospace and Defense</w:t>
            </w:r>
          </w:p>
        </w:tc>
        <w:tc>
          <w:tcPr>
            <w:tcW w:w="639" w:type="pct"/>
            <w:tcBorders>
              <w:top w:val="nil"/>
              <w:left w:val="nil"/>
              <w:bottom w:val="nil"/>
              <w:right w:val="nil"/>
            </w:tcBorders>
            <w:shd w:val="clear" w:color="auto" w:fill="auto"/>
            <w:noWrap/>
            <w:vAlign w:val="bottom"/>
            <w:hideMark/>
          </w:tcPr>
          <w:p w14:paraId="2CB14D20"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28E88357" w14:textId="77777777" w:rsidR="00315077" w:rsidRPr="00971912" w:rsidRDefault="00315077" w:rsidP="00315077">
            <w:pPr>
              <w:jc w:val="right"/>
              <w:rPr>
                <w:color w:val="000000"/>
                <w:sz w:val="20"/>
                <w:szCs w:val="20"/>
              </w:rPr>
            </w:pPr>
            <w:r w:rsidRPr="00971912">
              <w:rPr>
                <w:color w:val="000000"/>
                <w:sz w:val="20"/>
                <w:szCs w:val="20"/>
              </w:rPr>
              <w:t>0.28</w:t>
            </w:r>
          </w:p>
        </w:tc>
        <w:tc>
          <w:tcPr>
            <w:tcW w:w="527" w:type="pct"/>
            <w:tcBorders>
              <w:top w:val="nil"/>
              <w:left w:val="nil"/>
              <w:bottom w:val="nil"/>
              <w:right w:val="nil"/>
            </w:tcBorders>
            <w:shd w:val="clear" w:color="auto" w:fill="auto"/>
            <w:noWrap/>
            <w:vAlign w:val="bottom"/>
            <w:hideMark/>
          </w:tcPr>
          <w:p w14:paraId="7B037BB7" w14:textId="77777777" w:rsidR="00315077" w:rsidRPr="00971912" w:rsidRDefault="00315077" w:rsidP="00315077">
            <w:pPr>
              <w:jc w:val="right"/>
              <w:rPr>
                <w:color w:val="000000"/>
                <w:sz w:val="20"/>
                <w:szCs w:val="20"/>
              </w:rPr>
            </w:pPr>
            <w:r w:rsidRPr="00971912">
              <w:rPr>
                <w:color w:val="000000"/>
                <w:sz w:val="20"/>
                <w:szCs w:val="20"/>
              </w:rPr>
              <w:t>0.0062</w:t>
            </w:r>
          </w:p>
        </w:tc>
      </w:tr>
      <w:tr w:rsidR="00315077" w:rsidRPr="00D75E5D" w14:paraId="31B98F40" w14:textId="77777777" w:rsidTr="00315077">
        <w:trPr>
          <w:trHeight w:val="300"/>
        </w:trPr>
        <w:tc>
          <w:tcPr>
            <w:tcW w:w="2003" w:type="pct"/>
            <w:tcBorders>
              <w:top w:val="nil"/>
              <w:left w:val="nil"/>
              <w:bottom w:val="nil"/>
              <w:right w:val="nil"/>
            </w:tcBorders>
            <w:shd w:val="clear" w:color="auto" w:fill="auto"/>
            <w:noWrap/>
            <w:vAlign w:val="bottom"/>
            <w:hideMark/>
          </w:tcPr>
          <w:p w14:paraId="64B0E299" w14:textId="77777777" w:rsidR="00315077" w:rsidRPr="00971912" w:rsidRDefault="00315077" w:rsidP="00315077">
            <w:pPr>
              <w:rPr>
                <w:color w:val="000000"/>
                <w:sz w:val="20"/>
                <w:szCs w:val="20"/>
              </w:rPr>
            </w:pPr>
            <w:r w:rsidRPr="00971912">
              <w:rPr>
                <w:color w:val="000000"/>
                <w:sz w:val="20"/>
                <w:szCs w:val="20"/>
              </w:rPr>
              <w:t>China Aviation Industry Corporation</w:t>
            </w:r>
          </w:p>
        </w:tc>
        <w:tc>
          <w:tcPr>
            <w:tcW w:w="1455" w:type="pct"/>
            <w:tcBorders>
              <w:top w:val="nil"/>
              <w:left w:val="nil"/>
              <w:bottom w:val="nil"/>
              <w:right w:val="nil"/>
            </w:tcBorders>
            <w:vAlign w:val="bottom"/>
          </w:tcPr>
          <w:p w14:paraId="70F1E324" w14:textId="77777777" w:rsidR="00315077" w:rsidRPr="00971912" w:rsidRDefault="00315077" w:rsidP="00315077">
            <w:pPr>
              <w:rPr>
                <w:color w:val="000000"/>
                <w:sz w:val="20"/>
                <w:szCs w:val="20"/>
              </w:rPr>
            </w:pPr>
            <w:r w:rsidRPr="00971912">
              <w:rPr>
                <w:color w:val="000000"/>
                <w:sz w:val="20"/>
                <w:szCs w:val="20"/>
              </w:rPr>
              <w:t>Aerospace and Defense</w:t>
            </w:r>
          </w:p>
        </w:tc>
        <w:tc>
          <w:tcPr>
            <w:tcW w:w="639" w:type="pct"/>
            <w:tcBorders>
              <w:top w:val="nil"/>
              <w:left w:val="nil"/>
              <w:bottom w:val="nil"/>
              <w:right w:val="nil"/>
            </w:tcBorders>
            <w:shd w:val="clear" w:color="auto" w:fill="auto"/>
            <w:noWrap/>
            <w:vAlign w:val="bottom"/>
            <w:hideMark/>
          </w:tcPr>
          <w:p w14:paraId="0AA3DAEF" w14:textId="77777777" w:rsidR="00315077" w:rsidRPr="00971912" w:rsidRDefault="00315077" w:rsidP="00315077">
            <w:pPr>
              <w:rPr>
                <w:color w:val="000000"/>
                <w:sz w:val="20"/>
                <w:szCs w:val="20"/>
              </w:rPr>
            </w:pPr>
            <w:r w:rsidRPr="00971912">
              <w:rPr>
                <w:color w:val="000000"/>
                <w:sz w:val="20"/>
                <w:szCs w:val="20"/>
              </w:rPr>
              <w:t>2009-2017</w:t>
            </w:r>
          </w:p>
        </w:tc>
        <w:tc>
          <w:tcPr>
            <w:tcW w:w="376" w:type="pct"/>
            <w:tcBorders>
              <w:top w:val="nil"/>
              <w:left w:val="nil"/>
              <w:bottom w:val="nil"/>
              <w:right w:val="nil"/>
            </w:tcBorders>
            <w:shd w:val="clear" w:color="auto" w:fill="auto"/>
            <w:noWrap/>
            <w:vAlign w:val="bottom"/>
            <w:hideMark/>
          </w:tcPr>
          <w:p w14:paraId="4B12CA3B" w14:textId="77777777" w:rsidR="00315077" w:rsidRPr="00971912" w:rsidRDefault="00315077" w:rsidP="00315077">
            <w:pPr>
              <w:jc w:val="right"/>
              <w:rPr>
                <w:color w:val="000000"/>
                <w:sz w:val="20"/>
                <w:szCs w:val="20"/>
              </w:rPr>
            </w:pPr>
            <w:r w:rsidRPr="00971912">
              <w:rPr>
                <w:color w:val="000000"/>
                <w:sz w:val="20"/>
                <w:szCs w:val="20"/>
              </w:rPr>
              <w:t>0.25</w:t>
            </w:r>
          </w:p>
        </w:tc>
        <w:tc>
          <w:tcPr>
            <w:tcW w:w="527" w:type="pct"/>
            <w:tcBorders>
              <w:top w:val="nil"/>
              <w:left w:val="nil"/>
              <w:bottom w:val="nil"/>
              <w:right w:val="nil"/>
            </w:tcBorders>
            <w:shd w:val="clear" w:color="auto" w:fill="auto"/>
            <w:noWrap/>
            <w:vAlign w:val="bottom"/>
            <w:hideMark/>
          </w:tcPr>
          <w:p w14:paraId="2AE5173F" w14:textId="77777777" w:rsidR="00315077" w:rsidRPr="00971912" w:rsidRDefault="00315077" w:rsidP="00315077">
            <w:pPr>
              <w:jc w:val="right"/>
              <w:rPr>
                <w:color w:val="000000"/>
                <w:sz w:val="20"/>
                <w:szCs w:val="20"/>
              </w:rPr>
            </w:pPr>
            <w:r w:rsidRPr="00971912">
              <w:rPr>
                <w:color w:val="000000"/>
                <w:sz w:val="20"/>
                <w:szCs w:val="20"/>
              </w:rPr>
              <w:t>-0.0104</w:t>
            </w:r>
          </w:p>
        </w:tc>
      </w:tr>
      <w:tr w:rsidR="00315077" w:rsidRPr="00D75E5D" w14:paraId="72EC2912" w14:textId="77777777" w:rsidTr="00315077">
        <w:trPr>
          <w:trHeight w:val="300"/>
        </w:trPr>
        <w:tc>
          <w:tcPr>
            <w:tcW w:w="2003" w:type="pct"/>
            <w:tcBorders>
              <w:top w:val="nil"/>
              <w:left w:val="nil"/>
              <w:bottom w:val="nil"/>
              <w:right w:val="nil"/>
            </w:tcBorders>
            <w:shd w:val="clear" w:color="auto" w:fill="auto"/>
            <w:noWrap/>
            <w:vAlign w:val="bottom"/>
            <w:hideMark/>
          </w:tcPr>
          <w:p w14:paraId="36B9490A" w14:textId="77777777" w:rsidR="00315077" w:rsidRPr="00971912" w:rsidRDefault="00315077" w:rsidP="00315077">
            <w:pPr>
              <w:rPr>
                <w:color w:val="000000"/>
                <w:sz w:val="20"/>
                <w:szCs w:val="20"/>
              </w:rPr>
            </w:pPr>
            <w:r w:rsidRPr="00971912">
              <w:rPr>
                <w:color w:val="000000"/>
                <w:sz w:val="20"/>
                <w:szCs w:val="20"/>
              </w:rPr>
              <w:t>China State Shipbuilding Corporation</w:t>
            </w:r>
          </w:p>
        </w:tc>
        <w:tc>
          <w:tcPr>
            <w:tcW w:w="1455" w:type="pct"/>
            <w:tcBorders>
              <w:top w:val="nil"/>
              <w:left w:val="nil"/>
              <w:bottom w:val="nil"/>
              <w:right w:val="nil"/>
            </w:tcBorders>
            <w:vAlign w:val="bottom"/>
          </w:tcPr>
          <w:p w14:paraId="7D33E6B6" w14:textId="77777777" w:rsidR="00315077" w:rsidRPr="00971912" w:rsidRDefault="00315077" w:rsidP="00315077">
            <w:pPr>
              <w:rPr>
                <w:color w:val="000000"/>
                <w:sz w:val="20"/>
                <w:szCs w:val="20"/>
              </w:rPr>
            </w:pPr>
            <w:r w:rsidRPr="00971912">
              <w:rPr>
                <w:color w:val="000000"/>
                <w:sz w:val="20"/>
                <w:szCs w:val="20"/>
              </w:rPr>
              <w:t>Construction machinery and heavy trucks</w:t>
            </w:r>
          </w:p>
        </w:tc>
        <w:tc>
          <w:tcPr>
            <w:tcW w:w="639" w:type="pct"/>
            <w:tcBorders>
              <w:top w:val="nil"/>
              <w:left w:val="nil"/>
              <w:bottom w:val="nil"/>
              <w:right w:val="nil"/>
            </w:tcBorders>
            <w:shd w:val="clear" w:color="auto" w:fill="auto"/>
            <w:noWrap/>
            <w:vAlign w:val="bottom"/>
            <w:hideMark/>
          </w:tcPr>
          <w:p w14:paraId="4B26CB67"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2A560EDA" w14:textId="77777777" w:rsidR="00315077" w:rsidRPr="00971912" w:rsidRDefault="00315077" w:rsidP="00315077">
            <w:pPr>
              <w:jc w:val="right"/>
              <w:rPr>
                <w:color w:val="000000"/>
                <w:sz w:val="20"/>
                <w:szCs w:val="20"/>
              </w:rPr>
            </w:pPr>
            <w:r w:rsidRPr="00971912">
              <w:rPr>
                <w:color w:val="000000"/>
                <w:sz w:val="20"/>
                <w:szCs w:val="20"/>
              </w:rPr>
              <w:t>0.28</w:t>
            </w:r>
          </w:p>
        </w:tc>
        <w:tc>
          <w:tcPr>
            <w:tcW w:w="527" w:type="pct"/>
            <w:tcBorders>
              <w:top w:val="nil"/>
              <w:left w:val="nil"/>
              <w:bottom w:val="nil"/>
              <w:right w:val="nil"/>
            </w:tcBorders>
            <w:shd w:val="clear" w:color="auto" w:fill="auto"/>
            <w:noWrap/>
            <w:vAlign w:val="bottom"/>
            <w:hideMark/>
          </w:tcPr>
          <w:p w14:paraId="42849245" w14:textId="77777777" w:rsidR="00315077" w:rsidRPr="00971912" w:rsidRDefault="00315077" w:rsidP="00315077">
            <w:pPr>
              <w:jc w:val="right"/>
              <w:rPr>
                <w:color w:val="000000"/>
                <w:sz w:val="20"/>
                <w:szCs w:val="20"/>
              </w:rPr>
            </w:pPr>
            <w:r w:rsidRPr="00971912">
              <w:rPr>
                <w:color w:val="000000"/>
                <w:sz w:val="20"/>
                <w:szCs w:val="20"/>
              </w:rPr>
              <w:t>-0.0094</w:t>
            </w:r>
          </w:p>
        </w:tc>
      </w:tr>
      <w:tr w:rsidR="00315077" w:rsidRPr="00D75E5D" w14:paraId="3E8E57CB" w14:textId="77777777" w:rsidTr="00315077">
        <w:trPr>
          <w:trHeight w:val="300"/>
        </w:trPr>
        <w:tc>
          <w:tcPr>
            <w:tcW w:w="2003" w:type="pct"/>
            <w:tcBorders>
              <w:top w:val="nil"/>
              <w:left w:val="nil"/>
              <w:bottom w:val="nil"/>
              <w:right w:val="nil"/>
            </w:tcBorders>
            <w:shd w:val="clear" w:color="auto" w:fill="auto"/>
            <w:noWrap/>
            <w:vAlign w:val="bottom"/>
            <w:hideMark/>
          </w:tcPr>
          <w:p w14:paraId="68F086BB" w14:textId="77777777" w:rsidR="00315077" w:rsidRPr="00971912" w:rsidRDefault="00315077" w:rsidP="00315077">
            <w:pPr>
              <w:rPr>
                <w:color w:val="000000"/>
                <w:sz w:val="20"/>
                <w:szCs w:val="20"/>
              </w:rPr>
            </w:pPr>
            <w:r w:rsidRPr="00971912">
              <w:rPr>
                <w:color w:val="000000"/>
                <w:sz w:val="20"/>
                <w:szCs w:val="20"/>
              </w:rPr>
              <w:t>China Shipbuilding Industry Corporation</w:t>
            </w:r>
          </w:p>
        </w:tc>
        <w:tc>
          <w:tcPr>
            <w:tcW w:w="1455" w:type="pct"/>
            <w:tcBorders>
              <w:top w:val="nil"/>
              <w:left w:val="nil"/>
              <w:bottom w:val="nil"/>
              <w:right w:val="nil"/>
            </w:tcBorders>
            <w:vAlign w:val="bottom"/>
          </w:tcPr>
          <w:p w14:paraId="6E6DA30D" w14:textId="77777777" w:rsidR="00315077" w:rsidRPr="00971912" w:rsidRDefault="00315077" w:rsidP="00315077">
            <w:pPr>
              <w:rPr>
                <w:color w:val="000000"/>
                <w:sz w:val="20"/>
                <w:szCs w:val="20"/>
              </w:rPr>
            </w:pPr>
            <w:r w:rsidRPr="00971912">
              <w:rPr>
                <w:color w:val="000000"/>
                <w:sz w:val="20"/>
                <w:szCs w:val="20"/>
              </w:rPr>
              <w:t>Construction machinery and heavy trucks</w:t>
            </w:r>
          </w:p>
        </w:tc>
        <w:tc>
          <w:tcPr>
            <w:tcW w:w="639" w:type="pct"/>
            <w:tcBorders>
              <w:top w:val="nil"/>
              <w:left w:val="nil"/>
              <w:bottom w:val="nil"/>
              <w:right w:val="nil"/>
            </w:tcBorders>
            <w:shd w:val="clear" w:color="auto" w:fill="auto"/>
            <w:noWrap/>
            <w:vAlign w:val="bottom"/>
            <w:hideMark/>
          </w:tcPr>
          <w:p w14:paraId="7F1511DF"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665B846E" w14:textId="77777777" w:rsidR="00315077" w:rsidRPr="00971912" w:rsidRDefault="00315077" w:rsidP="00315077">
            <w:pPr>
              <w:jc w:val="right"/>
              <w:rPr>
                <w:color w:val="000000"/>
                <w:sz w:val="20"/>
                <w:szCs w:val="20"/>
              </w:rPr>
            </w:pPr>
            <w:r w:rsidRPr="00971912">
              <w:rPr>
                <w:color w:val="000000"/>
                <w:sz w:val="20"/>
                <w:szCs w:val="20"/>
              </w:rPr>
              <w:t>0.21</w:t>
            </w:r>
          </w:p>
        </w:tc>
        <w:tc>
          <w:tcPr>
            <w:tcW w:w="527" w:type="pct"/>
            <w:tcBorders>
              <w:top w:val="nil"/>
              <w:left w:val="nil"/>
              <w:bottom w:val="nil"/>
              <w:right w:val="nil"/>
            </w:tcBorders>
            <w:shd w:val="clear" w:color="auto" w:fill="auto"/>
            <w:noWrap/>
            <w:vAlign w:val="bottom"/>
            <w:hideMark/>
          </w:tcPr>
          <w:p w14:paraId="5FF469DE" w14:textId="77777777" w:rsidR="00315077" w:rsidRPr="00971912" w:rsidRDefault="00315077" w:rsidP="00315077">
            <w:pPr>
              <w:jc w:val="right"/>
              <w:rPr>
                <w:color w:val="000000"/>
                <w:sz w:val="20"/>
                <w:szCs w:val="20"/>
              </w:rPr>
            </w:pPr>
            <w:r w:rsidRPr="00971912">
              <w:rPr>
                <w:color w:val="000000"/>
                <w:sz w:val="20"/>
                <w:szCs w:val="20"/>
              </w:rPr>
              <w:t>-0.0129</w:t>
            </w:r>
          </w:p>
        </w:tc>
      </w:tr>
      <w:tr w:rsidR="00315077" w:rsidRPr="00D75E5D" w14:paraId="58E8119B" w14:textId="77777777" w:rsidTr="00315077">
        <w:trPr>
          <w:trHeight w:val="300"/>
        </w:trPr>
        <w:tc>
          <w:tcPr>
            <w:tcW w:w="2003" w:type="pct"/>
            <w:tcBorders>
              <w:top w:val="nil"/>
              <w:left w:val="nil"/>
              <w:bottom w:val="nil"/>
              <w:right w:val="nil"/>
            </w:tcBorders>
            <w:shd w:val="clear" w:color="auto" w:fill="auto"/>
            <w:noWrap/>
            <w:vAlign w:val="bottom"/>
            <w:hideMark/>
          </w:tcPr>
          <w:p w14:paraId="75CAE108" w14:textId="77777777" w:rsidR="00315077" w:rsidRPr="00971912" w:rsidRDefault="00315077" w:rsidP="00315077">
            <w:pPr>
              <w:rPr>
                <w:color w:val="000000"/>
                <w:sz w:val="20"/>
                <w:szCs w:val="20"/>
              </w:rPr>
            </w:pPr>
            <w:r w:rsidRPr="00971912">
              <w:rPr>
                <w:color w:val="000000"/>
                <w:sz w:val="20"/>
                <w:szCs w:val="20"/>
                <w:lang w:val="en"/>
              </w:rPr>
              <w:t>China North Industries Group Corporation</w:t>
            </w:r>
          </w:p>
        </w:tc>
        <w:tc>
          <w:tcPr>
            <w:tcW w:w="1455" w:type="pct"/>
            <w:tcBorders>
              <w:top w:val="nil"/>
              <w:left w:val="nil"/>
              <w:bottom w:val="nil"/>
              <w:right w:val="nil"/>
            </w:tcBorders>
            <w:vAlign w:val="bottom"/>
          </w:tcPr>
          <w:p w14:paraId="0327EB64" w14:textId="77777777" w:rsidR="00315077" w:rsidRPr="00971912" w:rsidRDefault="00315077" w:rsidP="00315077">
            <w:pPr>
              <w:rPr>
                <w:color w:val="000000"/>
                <w:sz w:val="20"/>
                <w:szCs w:val="20"/>
              </w:rPr>
            </w:pPr>
            <w:r w:rsidRPr="00971912">
              <w:rPr>
                <w:color w:val="000000"/>
                <w:sz w:val="20"/>
                <w:szCs w:val="20"/>
              </w:rPr>
              <w:t>Aerospace and Defense</w:t>
            </w:r>
          </w:p>
        </w:tc>
        <w:tc>
          <w:tcPr>
            <w:tcW w:w="639" w:type="pct"/>
            <w:tcBorders>
              <w:top w:val="nil"/>
              <w:left w:val="nil"/>
              <w:bottom w:val="nil"/>
              <w:right w:val="nil"/>
            </w:tcBorders>
            <w:shd w:val="clear" w:color="auto" w:fill="auto"/>
            <w:noWrap/>
            <w:vAlign w:val="bottom"/>
            <w:hideMark/>
          </w:tcPr>
          <w:p w14:paraId="2D7E1BFE"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5A04AFBF" w14:textId="77777777" w:rsidR="00315077" w:rsidRPr="00971912" w:rsidRDefault="00315077" w:rsidP="00315077">
            <w:pPr>
              <w:jc w:val="right"/>
              <w:rPr>
                <w:color w:val="000000"/>
                <w:sz w:val="20"/>
                <w:szCs w:val="20"/>
              </w:rPr>
            </w:pPr>
            <w:r w:rsidRPr="00971912">
              <w:rPr>
                <w:color w:val="000000"/>
                <w:sz w:val="20"/>
                <w:szCs w:val="20"/>
              </w:rPr>
              <w:t>0.27</w:t>
            </w:r>
          </w:p>
        </w:tc>
        <w:tc>
          <w:tcPr>
            <w:tcW w:w="527" w:type="pct"/>
            <w:tcBorders>
              <w:top w:val="nil"/>
              <w:left w:val="nil"/>
              <w:bottom w:val="nil"/>
              <w:right w:val="nil"/>
            </w:tcBorders>
            <w:shd w:val="clear" w:color="auto" w:fill="auto"/>
            <w:noWrap/>
            <w:vAlign w:val="bottom"/>
            <w:hideMark/>
          </w:tcPr>
          <w:p w14:paraId="00D72661" w14:textId="77777777" w:rsidR="00315077" w:rsidRPr="00971912" w:rsidRDefault="00315077" w:rsidP="00315077">
            <w:pPr>
              <w:jc w:val="right"/>
              <w:rPr>
                <w:color w:val="000000"/>
                <w:sz w:val="20"/>
                <w:szCs w:val="20"/>
              </w:rPr>
            </w:pPr>
            <w:r w:rsidRPr="00971912">
              <w:rPr>
                <w:color w:val="000000"/>
                <w:sz w:val="20"/>
                <w:szCs w:val="20"/>
              </w:rPr>
              <w:t>0.0514</w:t>
            </w:r>
          </w:p>
        </w:tc>
      </w:tr>
      <w:tr w:rsidR="00315077" w:rsidRPr="00D75E5D" w14:paraId="79D989C8" w14:textId="77777777" w:rsidTr="00315077">
        <w:trPr>
          <w:trHeight w:val="300"/>
        </w:trPr>
        <w:tc>
          <w:tcPr>
            <w:tcW w:w="2003" w:type="pct"/>
            <w:tcBorders>
              <w:top w:val="nil"/>
              <w:left w:val="nil"/>
              <w:bottom w:val="nil"/>
              <w:right w:val="nil"/>
            </w:tcBorders>
            <w:shd w:val="clear" w:color="auto" w:fill="auto"/>
            <w:noWrap/>
            <w:vAlign w:val="bottom"/>
            <w:hideMark/>
          </w:tcPr>
          <w:p w14:paraId="59F85441" w14:textId="77777777" w:rsidR="00315077" w:rsidRPr="00971912" w:rsidRDefault="00315077" w:rsidP="00315077">
            <w:pPr>
              <w:rPr>
                <w:color w:val="000000"/>
                <w:sz w:val="20"/>
                <w:szCs w:val="20"/>
              </w:rPr>
            </w:pPr>
            <w:r w:rsidRPr="00971912">
              <w:rPr>
                <w:color w:val="000000"/>
                <w:sz w:val="20"/>
                <w:szCs w:val="20"/>
                <w:lang w:val="en"/>
              </w:rPr>
              <w:t>China North Industries Group Corporation</w:t>
            </w:r>
          </w:p>
        </w:tc>
        <w:tc>
          <w:tcPr>
            <w:tcW w:w="1455" w:type="pct"/>
            <w:tcBorders>
              <w:top w:val="nil"/>
              <w:left w:val="nil"/>
              <w:bottom w:val="nil"/>
              <w:right w:val="nil"/>
            </w:tcBorders>
            <w:vAlign w:val="bottom"/>
          </w:tcPr>
          <w:p w14:paraId="26C52AF7" w14:textId="77777777" w:rsidR="00315077" w:rsidRPr="00971912" w:rsidRDefault="00315077" w:rsidP="00315077">
            <w:pPr>
              <w:rPr>
                <w:color w:val="000000"/>
                <w:sz w:val="20"/>
                <w:szCs w:val="20"/>
              </w:rPr>
            </w:pPr>
            <w:r w:rsidRPr="00971912">
              <w:rPr>
                <w:color w:val="000000"/>
                <w:sz w:val="20"/>
                <w:szCs w:val="20"/>
              </w:rPr>
              <w:t>Motor vehicle parts and equipment</w:t>
            </w:r>
          </w:p>
        </w:tc>
        <w:tc>
          <w:tcPr>
            <w:tcW w:w="639" w:type="pct"/>
            <w:tcBorders>
              <w:top w:val="nil"/>
              <w:left w:val="nil"/>
              <w:bottom w:val="nil"/>
              <w:right w:val="nil"/>
            </w:tcBorders>
            <w:shd w:val="clear" w:color="auto" w:fill="auto"/>
            <w:noWrap/>
            <w:vAlign w:val="bottom"/>
            <w:hideMark/>
          </w:tcPr>
          <w:p w14:paraId="750E080A"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36575E52" w14:textId="77777777" w:rsidR="00315077" w:rsidRPr="00971912" w:rsidRDefault="00315077" w:rsidP="00315077">
            <w:pPr>
              <w:jc w:val="right"/>
              <w:rPr>
                <w:color w:val="000000"/>
                <w:sz w:val="20"/>
                <w:szCs w:val="20"/>
              </w:rPr>
            </w:pPr>
            <w:r w:rsidRPr="00971912">
              <w:rPr>
                <w:color w:val="000000"/>
                <w:sz w:val="20"/>
                <w:szCs w:val="20"/>
              </w:rPr>
              <w:t>0.65</w:t>
            </w:r>
          </w:p>
        </w:tc>
        <w:tc>
          <w:tcPr>
            <w:tcW w:w="527" w:type="pct"/>
            <w:tcBorders>
              <w:top w:val="nil"/>
              <w:left w:val="nil"/>
              <w:bottom w:val="nil"/>
              <w:right w:val="nil"/>
            </w:tcBorders>
            <w:shd w:val="clear" w:color="auto" w:fill="auto"/>
            <w:noWrap/>
            <w:vAlign w:val="bottom"/>
            <w:hideMark/>
          </w:tcPr>
          <w:p w14:paraId="50CA3ED6" w14:textId="77777777" w:rsidR="00315077" w:rsidRPr="00971912" w:rsidRDefault="00315077" w:rsidP="00315077">
            <w:pPr>
              <w:jc w:val="right"/>
              <w:rPr>
                <w:color w:val="000000"/>
                <w:sz w:val="20"/>
                <w:szCs w:val="20"/>
              </w:rPr>
            </w:pPr>
            <w:r w:rsidRPr="00971912">
              <w:rPr>
                <w:color w:val="000000"/>
                <w:sz w:val="20"/>
                <w:szCs w:val="20"/>
              </w:rPr>
              <w:t>-0.0531</w:t>
            </w:r>
          </w:p>
        </w:tc>
      </w:tr>
      <w:tr w:rsidR="00315077" w:rsidRPr="00D75E5D" w14:paraId="4E90790E" w14:textId="77777777" w:rsidTr="00315077">
        <w:trPr>
          <w:trHeight w:val="300"/>
        </w:trPr>
        <w:tc>
          <w:tcPr>
            <w:tcW w:w="2003" w:type="pct"/>
            <w:tcBorders>
              <w:top w:val="nil"/>
              <w:left w:val="nil"/>
              <w:bottom w:val="nil"/>
              <w:right w:val="nil"/>
            </w:tcBorders>
            <w:shd w:val="clear" w:color="auto" w:fill="auto"/>
            <w:noWrap/>
            <w:vAlign w:val="bottom"/>
            <w:hideMark/>
          </w:tcPr>
          <w:p w14:paraId="2987A908" w14:textId="77777777" w:rsidR="00315077" w:rsidRPr="00971912" w:rsidRDefault="00315077" w:rsidP="00315077">
            <w:pPr>
              <w:rPr>
                <w:color w:val="000000"/>
                <w:sz w:val="20"/>
                <w:szCs w:val="20"/>
              </w:rPr>
            </w:pPr>
            <w:r w:rsidRPr="00971912">
              <w:rPr>
                <w:color w:val="000000"/>
                <w:sz w:val="20"/>
                <w:szCs w:val="20"/>
              </w:rPr>
              <w:t>China Electronics Technology Group Corporation</w:t>
            </w:r>
          </w:p>
        </w:tc>
        <w:tc>
          <w:tcPr>
            <w:tcW w:w="1455" w:type="pct"/>
            <w:tcBorders>
              <w:top w:val="nil"/>
              <w:left w:val="nil"/>
              <w:bottom w:val="nil"/>
              <w:right w:val="nil"/>
            </w:tcBorders>
            <w:vAlign w:val="bottom"/>
          </w:tcPr>
          <w:p w14:paraId="546C569F" w14:textId="77777777" w:rsidR="00315077" w:rsidRPr="00971912" w:rsidRDefault="00315077" w:rsidP="00315077">
            <w:pPr>
              <w:rPr>
                <w:color w:val="000000"/>
                <w:sz w:val="20"/>
                <w:szCs w:val="20"/>
              </w:rPr>
            </w:pPr>
            <w:r w:rsidRPr="00971912">
              <w:rPr>
                <w:color w:val="000000"/>
                <w:sz w:val="20"/>
                <w:szCs w:val="20"/>
              </w:rPr>
              <w:t>Aerospace and Defense</w:t>
            </w:r>
          </w:p>
        </w:tc>
        <w:tc>
          <w:tcPr>
            <w:tcW w:w="639" w:type="pct"/>
            <w:tcBorders>
              <w:top w:val="nil"/>
              <w:left w:val="nil"/>
              <w:bottom w:val="nil"/>
              <w:right w:val="nil"/>
            </w:tcBorders>
            <w:shd w:val="clear" w:color="auto" w:fill="auto"/>
            <w:noWrap/>
            <w:vAlign w:val="bottom"/>
            <w:hideMark/>
          </w:tcPr>
          <w:p w14:paraId="5B43ECE0"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57E3226B" w14:textId="77777777" w:rsidR="00315077" w:rsidRPr="00971912" w:rsidRDefault="00315077" w:rsidP="00315077">
            <w:pPr>
              <w:jc w:val="right"/>
              <w:rPr>
                <w:color w:val="000000"/>
                <w:sz w:val="20"/>
                <w:szCs w:val="20"/>
              </w:rPr>
            </w:pPr>
            <w:r w:rsidRPr="00971912">
              <w:rPr>
                <w:color w:val="000000"/>
                <w:sz w:val="20"/>
                <w:szCs w:val="20"/>
              </w:rPr>
              <w:t>0.72</w:t>
            </w:r>
          </w:p>
        </w:tc>
        <w:tc>
          <w:tcPr>
            <w:tcW w:w="527" w:type="pct"/>
            <w:tcBorders>
              <w:top w:val="nil"/>
              <w:left w:val="nil"/>
              <w:bottom w:val="nil"/>
              <w:right w:val="nil"/>
            </w:tcBorders>
            <w:shd w:val="clear" w:color="auto" w:fill="auto"/>
            <w:noWrap/>
            <w:vAlign w:val="bottom"/>
            <w:hideMark/>
          </w:tcPr>
          <w:p w14:paraId="3FAC42EE" w14:textId="77777777" w:rsidR="00315077" w:rsidRPr="00971912" w:rsidRDefault="00315077" w:rsidP="00315077">
            <w:pPr>
              <w:jc w:val="right"/>
              <w:rPr>
                <w:color w:val="000000"/>
                <w:sz w:val="20"/>
                <w:szCs w:val="20"/>
              </w:rPr>
            </w:pPr>
            <w:r w:rsidRPr="00971912">
              <w:rPr>
                <w:color w:val="000000"/>
                <w:sz w:val="20"/>
                <w:szCs w:val="20"/>
              </w:rPr>
              <w:t>-0.0337</w:t>
            </w:r>
          </w:p>
        </w:tc>
      </w:tr>
      <w:tr w:rsidR="00315077" w:rsidRPr="00D75E5D" w14:paraId="10E262F5" w14:textId="77777777" w:rsidTr="00315077">
        <w:trPr>
          <w:trHeight w:val="300"/>
        </w:trPr>
        <w:tc>
          <w:tcPr>
            <w:tcW w:w="2003" w:type="pct"/>
            <w:tcBorders>
              <w:top w:val="nil"/>
              <w:left w:val="nil"/>
              <w:bottom w:val="nil"/>
              <w:right w:val="nil"/>
            </w:tcBorders>
            <w:shd w:val="clear" w:color="auto" w:fill="auto"/>
            <w:noWrap/>
            <w:vAlign w:val="bottom"/>
            <w:hideMark/>
          </w:tcPr>
          <w:p w14:paraId="1780EAB3" w14:textId="77777777" w:rsidR="00315077" w:rsidRPr="00971912" w:rsidRDefault="00315077" w:rsidP="00315077">
            <w:pPr>
              <w:rPr>
                <w:color w:val="000000"/>
                <w:sz w:val="20"/>
                <w:szCs w:val="20"/>
              </w:rPr>
            </w:pPr>
            <w:r w:rsidRPr="00971912">
              <w:rPr>
                <w:color w:val="000000"/>
                <w:sz w:val="20"/>
                <w:szCs w:val="20"/>
              </w:rPr>
              <w:t>China National Petroleum Corporation</w:t>
            </w:r>
          </w:p>
        </w:tc>
        <w:tc>
          <w:tcPr>
            <w:tcW w:w="1455" w:type="pct"/>
            <w:tcBorders>
              <w:top w:val="nil"/>
              <w:left w:val="nil"/>
              <w:bottom w:val="nil"/>
              <w:right w:val="nil"/>
            </w:tcBorders>
            <w:vAlign w:val="bottom"/>
          </w:tcPr>
          <w:p w14:paraId="47B89BFC" w14:textId="77777777" w:rsidR="00315077" w:rsidRPr="00971912" w:rsidRDefault="00315077" w:rsidP="00315077">
            <w:pPr>
              <w:rPr>
                <w:color w:val="000000"/>
                <w:sz w:val="20"/>
                <w:szCs w:val="20"/>
              </w:rPr>
            </w:pPr>
            <w:r w:rsidRPr="00971912">
              <w:rPr>
                <w:color w:val="000000"/>
                <w:sz w:val="20"/>
                <w:szCs w:val="20"/>
              </w:rPr>
              <w:t>Comprehensive oil and gas</w:t>
            </w:r>
          </w:p>
        </w:tc>
        <w:tc>
          <w:tcPr>
            <w:tcW w:w="639" w:type="pct"/>
            <w:tcBorders>
              <w:top w:val="nil"/>
              <w:left w:val="nil"/>
              <w:bottom w:val="nil"/>
              <w:right w:val="nil"/>
            </w:tcBorders>
            <w:shd w:val="clear" w:color="auto" w:fill="auto"/>
            <w:noWrap/>
            <w:vAlign w:val="bottom"/>
            <w:hideMark/>
          </w:tcPr>
          <w:p w14:paraId="1044ECEA"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3F4182BB" w14:textId="77777777" w:rsidR="00315077" w:rsidRPr="00971912" w:rsidRDefault="00315077" w:rsidP="00315077">
            <w:pPr>
              <w:jc w:val="right"/>
              <w:rPr>
                <w:color w:val="000000"/>
                <w:sz w:val="20"/>
                <w:szCs w:val="20"/>
              </w:rPr>
            </w:pPr>
            <w:r w:rsidRPr="00971912">
              <w:rPr>
                <w:color w:val="000000"/>
                <w:sz w:val="20"/>
                <w:szCs w:val="20"/>
              </w:rPr>
              <w:t>0.81</w:t>
            </w:r>
          </w:p>
        </w:tc>
        <w:tc>
          <w:tcPr>
            <w:tcW w:w="527" w:type="pct"/>
            <w:tcBorders>
              <w:top w:val="nil"/>
              <w:left w:val="nil"/>
              <w:bottom w:val="nil"/>
              <w:right w:val="nil"/>
            </w:tcBorders>
            <w:shd w:val="clear" w:color="auto" w:fill="auto"/>
            <w:noWrap/>
            <w:vAlign w:val="bottom"/>
            <w:hideMark/>
          </w:tcPr>
          <w:p w14:paraId="4F4122D7" w14:textId="77777777" w:rsidR="00315077" w:rsidRPr="00971912" w:rsidRDefault="00315077" w:rsidP="00315077">
            <w:pPr>
              <w:jc w:val="right"/>
              <w:rPr>
                <w:color w:val="000000"/>
                <w:sz w:val="20"/>
                <w:szCs w:val="20"/>
              </w:rPr>
            </w:pPr>
            <w:r w:rsidRPr="00971912">
              <w:rPr>
                <w:color w:val="000000"/>
                <w:sz w:val="20"/>
                <w:szCs w:val="20"/>
              </w:rPr>
              <w:t>-0.0892</w:t>
            </w:r>
          </w:p>
        </w:tc>
      </w:tr>
      <w:tr w:rsidR="00315077" w:rsidRPr="00D75E5D" w14:paraId="04A42059" w14:textId="77777777" w:rsidTr="00315077">
        <w:trPr>
          <w:trHeight w:val="300"/>
        </w:trPr>
        <w:tc>
          <w:tcPr>
            <w:tcW w:w="2003" w:type="pct"/>
            <w:tcBorders>
              <w:top w:val="nil"/>
              <w:left w:val="nil"/>
              <w:bottom w:val="nil"/>
              <w:right w:val="nil"/>
            </w:tcBorders>
            <w:shd w:val="clear" w:color="auto" w:fill="auto"/>
            <w:noWrap/>
            <w:vAlign w:val="bottom"/>
            <w:hideMark/>
          </w:tcPr>
          <w:p w14:paraId="57FB041B" w14:textId="77777777" w:rsidR="00315077" w:rsidRPr="00971912" w:rsidRDefault="00315077" w:rsidP="00315077">
            <w:pPr>
              <w:rPr>
                <w:color w:val="000000"/>
                <w:sz w:val="20"/>
                <w:szCs w:val="20"/>
              </w:rPr>
            </w:pPr>
            <w:r w:rsidRPr="00971912">
              <w:rPr>
                <w:color w:val="000000"/>
                <w:sz w:val="20"/>
                <w:szCs w:val="20"/>
              </w:rPr>
              <w:t>China Petrochemical Corporation</w:t>
            </w:r>
          </w:p>
        </w:tc>
        <w:tc>
          <w:tcPr>
            <w:tcW w:w="1455" w:type="pct"/>
            <w:tcBorders>
              <w:top w:val="nil"/>
              <w:left w:val="nil"/>
              <w:bottom w:val="nil"/>
              <w:right w:val="nil"/>
            </w:tcBorders>
            <w:vAlign w:val="bottom"/>
          </w:tcPr>
          <w:p w14:paraId="53D95500" w14:textId="77777777" w:rsidR="00315077" w:rsidRPr="00971912" w:rsidRDefault="00315077" w:rsidP="00315077">
            <w:pPr>
              <w:rPr>
                <w:color w:val="000000"/>
                <w:sz w:val="20"/>
                <w:szCs w:val="20"/>
              </w:rPr>
            </w:pPr>
            <w:r w:rsidRPr="00971912">
              <w:rPr>
                <w:color w:val="000000"/>
                <w:sz w:val="20"/>
                <w:szCs w:val="20"/>
              </w:rPr>
              <w:t>Comprehensive oil and gas</w:t>
            </w:r>
          </w:p>
        </w:tc>
        <w:tc>
          <w:tcPr>
            <w:tcW w:w="639" w:type="pct"/>
            <w:tcBorders>
              <w:top w:val="nil"/>
              <w:left w:val="nil"/>
              <w:bottom w:val="nil"/>
              <w:right w:val="nil"/>
            </w:tcBorders>
            <w:shd w:val="clear" w:color="auto" w:fill="auto"/>
            <w:noWrap/>
            <w:vAlign w:val="bottom"/>
            <w:hideMark/>
          </w:tcPr>
          <w:p w14:paraId="539ECEFE"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0E77D8FE" w14:textId="77777777" w:rsidR="00315077" w:rsidRPr="00971912" w:rsidRDefault="00315077" w:rsidP="00315077">
            <w:pPr>
              <w:jc w:val="right"/>
              <w:rPr>
                <w:color w:val="000000"/>
                <w:sz w:val="20"/>
                <w:szCs w:val="20"/>
              </w:rPr>
            </w:pPr>
            <w:r w:rsidRPr="00971912">
              <w:rPr>
                <w:color w:val="000000"/>
                <w:sz w:val="20"/>
                <w:szCs w:val="20"/>
              </w:rPr>
              <w:t>0.55</w:t>
            </w:r>
          </w:p>
        </w:tc>
        <w:tc>
          <w:tcPr>
            <w:tcW w:w="527" w:type="pct"/>
            <w:tcBorders>
              <w:top w:val="nil"/>
              <w:left w:val="nil"/>
              <w:bottom w:val="nil"/>
              <w:right w:val="nil"/>
            </w:tcBorders>
            <w:shd w:val="clear" w:color="auto" w:fill="auto"/>
            <w:noWrap/>
            <w:vAlign w:val="bottom"/>
            <w:hideMark/>
          </w:tcPr>
          <w:p w14:paraId="26CC3F46" w14:textId="77777777" w:rsidR="00315077" w:rsidRPr="00971912" w:rsidRDefault="00315077" w:rsidP="00315077">
            <w:pPr>
              <w:jc w:val="right"/>
              <w:rPr>
                <w:color w:val="000000"/>
                <w:sz w:val="20"/>
                <w:szCs w:val="20"/>
              </w:rPr>
            </w:pPr>
            <w:r w:rsidRPr="00971912">
              <w:rPr>
                <w:color w:val="000000"/>
                <w:sz w:val="20"/>
                <w:szCs w:val="20"/>
              </w:rPr>
              <w:t>0.0163</w:t>
            </w:r>
          </w:p>
        </w:tc>
      </w:tr>
      <w:tr w:rsidR="00315077" w:rsidRPr="00D75E5D" w14:paraId="78BB4FB9" w14:textId="77777777" w:rsidTr="00315077">
        <w:trPr>
          <w:trHeight w:val="300"/>
        </w:trPr>
        <w:tc>
          <w:tcPr>
            <w:tcW w:w="2003" w:type="pct"/>
            <w:tcBorders>
              <w:top w:val="nil"/>
              <w:left w:val="nil"/>
              <w:bottom w:val="nil"/>
              <w:right w:val="nil"/>
            </w:tcBorders>
            <w:shd w:val="clear" w:color="auto" w:fill="auto"/>
            <w:noWrap/>
            <w:vAlign w:val="bottom"/>
            <w:hideMark/>
          </w:tcPr>
          <w:p w14:paraId="2779A77D" w14:textId="77777777" w:rsidR="00315077" w:rsidRPr="00971912" w:rsidRDefault="00315077" w:rsidP="00315077">
            <w:pPr>
              <w:rPr>
                <w:color w:val="000000"/>
                <w:sz w:val="20"/>
                <w:szCs w:val="20"/>
              </w:rPr>
            </w:pPr>
            <w:r w:rsidRPr="00971912">
              <w:rPr>
                <w:color w:val="000000"/>
                <w:sz w:val="20"/>
                <w:szCs w:val="20"/>
              </w:rPr>
              <w:t>National China Offshore Oil Corporation</w:t>
            </w:r>
          </w:p>
        </w:tc>
        <w:tc>
          <w:tcPr>
            <w:tcW w:w="1455" w:type="pct"/>
            <w:tcBorders>
              <w:top w:val="nil"/>
              <w:left w:val="nil"/>
              <w:bottom w:val="nil"/>
              <w:right w:val="nil"/>
            </w:tcBorders>
            <w:vAlign w:val="bottom"/>
          </w:tcPr>
          <w:p w14:paraId="011B1FE2" w14:textId="77777777" w:rsidR="00315077" w:rsidRPr="00971912" w:rsidRDefault="00315077" w:rsidP="00315077">
            <w:pPr>
              <w:rPr>
                <w:color w:val="000000"/>
                <w:sz w:val="20"/>
                <w:szCs w:val="20"/>
              </w:rPr>
            </w:pPr>
            <w:r w:rsidRPr="00971912">
              <w:rPr>
                <w:color w:val="000000"/>
                <w:sz w:val="20"/>
                <w:szCs w:val="20"/>
              </w:rPr>
              <w:t>Comprehensive oil and gas</w:t>
            </w:r>
          </w:p>
        </w:tc>
        <w:tc>
          <w:tcPr>
            <w:tcW w:w="639" w:type="pct"/>
            <w:tcBorders>
              <w:top w:val="nil"/>
              <w:left w:val="nil"/>
              <w:bottom w:val="nil"/>
              <w:right w:val="nil"/>
            </w:tcBorders>
            <w:shd w:val="clear" w:color="auto" w:fill="auto"/>
            <w:noWrap/>
            <w:vAlign w:val="bottom"/>
            <w:hideMark/>
          </w:tcPr>
          <w:p w14:paraId="08A2E0CB"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6B968E5B" w14:textId="77777777" w:rsidR="00315077" w:rsidRPr="00971912" w:rsidRDefault="00315077" w:rsidP="00315077">
            <w:pPr>
              <w:jc w:val="right"/>
              <w:rPr>
                <w:color w:val="000000"/>
                <w:sz w:val="20"/>
                <w:szCs w:val="20"/>
              </w:rPr>
            </w:pPr>
            <w:r w:rsidRPr="00971912">
              <w:rPr>
                <w:color w:val="000000"/>
                <w:sz w:val="20"/>
                <w:szCs w:val="20"/>
              </w:rPr>
              <w:t>0.42</w:t>
            </w:r>
          </w:p>
        </w:tc>
        <w:tc>
          <w:tcPr>
            <w:tcW w:w="527" w:type="pct"/>
            <w:tcBorders>
              <w:top w:val="nil"/>
              <w:left w:val="nil"/>
              <w:bottom w:val="nil"/>
              <w:right w:val="nil"/>
            </w:tcBorders>
            <w:shd w:val="clear" w:color="auto" w:fill="auto"/>
            <w:noWrap/>
            <w:vAlign w:val="bottom"/>
            <w:hideMark/>
          </w:tcPr>
          <w:p w14:paraId="09E030C3" w14:textId="77777777" w:rsidR="00315077" w:rsidRPr="00971912" w:rsidRDefault="00315077" w:rsidP="00315077">
            <w:pPr>
              <w:jc w:val="right"/>
              <w:rPr>
                <w:color w:val="000000"/>
                <w:sz w:val="20"/>
                <w:szCs w:val="20"/>
              </w:rPr>
            </w:pPr>
            <w:r w:rsidRPr="00971912">
              <w:rPr>
                <w:color w:val="000000"/>
                <w:sz w:val="20"/>
                <w:szCs w:val="20"/>
              </w:rPr>
              <w:t>0.0595</w:t>
            </w:r>
          </w:p>
        </w:tc>
      </w:tr>
      <w:tr w:rsidR="00315077" w:rsidRPr="00D75E5D" w14:paraId="7AD970F1" w14:textId="77777777" w:rsidTr="00315077">
        <w:trPr>
          <w:trHeight w:val="300"/>
        </w:trPr>
        <w:tc>
          <w:tcPr>
            <w:tcW w:w="2003" w:type="pct"/>
            <w:tcBorders>
              <w:top w:val="nil"/>
              <w:left w:val="nil"/>
              <w:bottom w:val="nil"/>
              <w:right w:val="nil"/>
            </w:tcBorders>
            <w:shd w:val="clear" w:color="auto" w:fill="auto"/>
            <w:noWrap/>
            <w:vAlign w:val="bottom"/>
            <w:hideMark/>
          </w:tcPr>
          <w:p w14:paraId="44EE76D3" w14:textId="77777777" w:rsidR="00315077" w:rsidRPr="00971912" w:rsidRDefault="00315077" w:rsidP="00315077">
            <w:pPr>
              <w:rPr>
                <w:color w:val="000000"/>
                <w:sz w:val="20"/>
                <w:szCs w:val="20"/>
              </w:rPr>
            </w:pPr>
            <w:r w:rsidRPr="00971912">
              <w:rPr>
                <w:color w:val="000000"/>
                <w:sz w:val="20"/>
                <w:szCs w:val="20"/>
              </w:rPr>
              <w:t>State Grid Corporation</w:t>
            </w:r>
          </w:p>
        </w:tc>
        <w:tc>
          <w:tcPr>
            <w:tcW w:w="1455" w:type="pct"/>
            <w:tcBorders>
              <w:top w:val="nil"/>
              <w:left w:val="nil"/>
              <w:bottom w:val="nil"/>
              <w:right w:val="nil"/>
            </w:tcBorders>
            <w:vAlign w:val="bottom"/>
          </w:tcPr>
          <w:p w14:paraId="0B5157FE" w14:textId="77777777" w:rsidR="00315077" w:rsidRPr="00971912" w:rsidRDefault="00315077" w:rsidP="00315077">
            <w:pPr>
              <w:rPr>
                <w:color w:val="000000"/>
                <w:sz w:val="20"/>
                <w:szCs w:val="20"/>
              </w:rPr>
            </w:pPr>
            <w:r w:rsidRPr="00971912">
              <w:rPr>
                <w:color w:val="000000"/>
                <w:sz w:val="20"/>
                <w:szCs w:val="20"/>
              </w:rPr>
              <w:t>Electricity</w:t>
            </w:r>
          </w:p>
        </w:tc>
        <w:tc>
          <w:tcPr>
            <w:tcW w:w="639" w:type="pct"/>
            <w:tcBorders>
              <w:top w:val="nil"/>
              <w:left w:val="nil"/>
              <w:bottom w:val="nil"/>
              <w:right w:val="nil"/>
            </w:tcBorders>
            <w:shd w:val="clear" w:color="auto" w:fill="auto"/>
            <w:noWrap/>
            <w:vAlign w:val="bottom"/>
            <w:hideMark/>
          </w:tcPr>
          <w:p w14:paraId="4AA96EDC"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610EC19D" w14:textId="77777777" w:rsidR="00315077" w:rsidRPr="00971912" w:rsidRDefault="00315077" w:rsidP="00315077">
            <w:pPr>
              <w:jc w:val="right"/>
              <w:rPr>
                <w:color w:val="000000"/>
                <w:sz w:val="20"/>
                <w:szCs w:val="20"/>
              </w:rPr>
            </w:pPr>
            <w:r w:rsidRPr="00971912">
              <w:rPr>
                <w:color w:val="000000"/>
                <w:sz w:val="20"/>
                <w:szCs w:val="20"/>
              </w:rPr>
              <w:t>0.29</w:t>
            </w:r>
          </w:p>
        </w:tc>
        <w:tc>
          <w:tcPr>
            <w:tcW w:w="527" w:type="pct"/>
            <w:tcBorders>
              <w:top w:val="nil"/>
              <w:left w:val="nil"/>
              <w:bottom w:val="nil"/>
              <w:right w:val="nil"/>
            </w:tcBorders>
            <w:shd w:val="clear" w:color="auto" w:fill="auto"/>
            <w:noWrap/>
            <w:vAlign w:val="bottom"/>
            <w:hideMark/>
          </w:tcPr>
          <w:p w14:paraId="0E26A01F" w14:textId="77777777" w:rsidR="00315077" w:rsidRPr="00971912" w:rsidRDefault="00315077" w:rsidP="00315077">
            <w:pPr>
              <w:jc w:val="right"/>
              <w:rPr>
                <w:color w:val="000000"/>
                <w:sz w:val="20"/>
                <w:szCs w:val="20"/>
              </w:rPr>
            </w:pPr>
            <w:r w:rsidRPr="00971912">
              <w:rPr>
                <w:color w:val="000000"/>
                <w:sz w:val="20"/>
                <w:szCs w:val="20"/>
              </w:rPr>
              <w:t>-0.0267</w:t>
            </w:r>
          </w:p>
        </w:tc>
      </w:tr>
      <w:tr w:rsidR="00315077" w:rsidRPr="00D75E5D" w14:paraId="7E9EFDCF" w14:textId="77777777" w:rsidTr="00315077">
        <w:trPr>
          <w:trHeight w:val="300"/>
        </w:trPr>
        <w:tc>
          <w:tcPr>
            <w:tcW w:w="2003" w:type="pct"/>
            <w:tcBorders>
              <w:top w:val="nil"/>
              <w:left w:val="nil"/>
              <w:bottom w:val="nil"/>
              <w:right w:val="nil"/>
            </w:tcBorders>
            <w:shd w:val="clear" w:color="auto" w:fill="auto"/>
            <w:noWrap/>
            <w:vAlign w:val="bottom"/>
            <w:hideMark/>
          </w:tcPr>
          <w:p w14:paraId="02CEC9C9" w14:textId="77777777" w:rsidR="00315077" w:rsidRPr="00971912" w:rsidRDefault="00315077" w:rsidP="00315077">
            <w:pPr>
              <w:rPr>
                <w:color w:val="000000"/>
                <w:sz w:val="20"/>
                <w:szCs w:val="20"/>
              </w:rPr>
            </w:pPr>
            <w:r w:rsidRPr="00971912">
              <w:rPr>
                <w:color w:val="000000"/>
                <w:sz w:val="20"/>
                <w:szCs w:val="20"/>
              </w:rPr>
              <w:t>China Southern Power Grid Co. Ltd.</w:t>
            </w:r>
          </w:p>
        </w:tc>
        <w:tc>
          <w:tcPr>
            <w:tcW w:w="1455" w:type="pct"/>
            <w:tcBorders>
              <w:top w:val="nil"/>
              <w:left w:val="nil"/>
              <w:bottom w:val="nil"/>
              <w:right w:val="nil"/>
            </w:tcBorders>
            <w:vAlign w:val="bottom"/>
          </w:tcPr>
          <w:p w14:paraId="521FDDCA" w14:textId="77777777" w:rsidR="00315077" w:rsidRPr="00971912" w:rsidRDefault="00315077" w:rsidP="00315077">
            <w:pPr>
              <w:rPr>
                <w:color w:val="000000"/>
                <w:sz w:val="20"/>
                <w:szCs w:val="20"/>
              </w:rPr>
            </w:pPr>
            <w:r w:rsidRPr="00971912">
              <w:rPr>
                <w:color w:val="000000"/>
                <w:sz w:val="20"/>
                <w:szCs w:val="20"/>
              </w:rPr>
              <w:t>Electricity</w:t>
            </w:r>
          </w:p>
        </w:tc>
        <w:tc>
          <w:tcPr>
            <w:tcW w:w="639" w:type="pct"/>
            <w:tcBorders>
              <w:top w:val="nil"/>
              <w:left w:val="nil"/>
              <w:bottom w:val="nil"/>
              <w:right w:val="nil"/>
            </w:tcBorders>
            <w:shd w:val="clear" w:color="auto" w:fill="auto"/>
            <w:noWrap/>
            <w:vAlign w:val="bottom"/>
            <w:hideMark/>
          </w:tcPr>
          <w:p w14:paraId="2B8C69F3"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44C95868" w14:textId="77777777" w:rsidR="00315077" w:rsidRPr="00971912" w:rsidRDefault="00315077" w:rsidP="00315077">
            <w:pPr>
              <w:jc w:val="right"/>
              <w:rPr>
                <w:color w:val="000000"/>
                <w:sz w:val="20"/>
                <w:szCs w:val="20"/>
              </w:rPr>
            </w:pPr>
            <w:r w:rsidRPr="00971912">
              <w:rPr>
                <w:color w:val="000000"/>
                <w:sz w:val="20"/>
                <w:szCs w:val="20"/>
              </w:rPr>
              <w:t>0.58</w:t>
            </w:r>
          </w:p>
        </w:tc>
        <w:tc>
          <w:tcPr>
            <w:tcW w:w="527" w:type="pct"/>
            <w:tcBorders>
              <w:top w:val="nil"/>
              <w:left w:val="nil"/>
              <w:bottom w:val="nil"/>
              <w:right w:val="nil"/>
            </w:tcBorders>
            <w:shd w:val="clear" w:color="auto" w:fill="auto"/>
            <w:noWrap/>
            <w:vAlign w:val="bottom"/>
            <w:hideMark/>
          </w:tcPr>
          <w:p w14:paraId="7B517268" w14:textId="77777777" w:rsidR="00315077" w:rsidRPr="00971912" w:rsidRDefault="00315077" w:rsidP="00315077">
            <w:pPr>
              <w:jc w:val="right"/>
              <w:rPr>
                <w:color w:val="000000"/>
                <w:sz w:val="20"/>
                <w:szCs w:val="20"/>
              </w:rPr>
            </w:pPr>
            <w:r w:rsidRPr="00971912">
              <w:rPr>
                <w:color w:val="000000"/>
                <w:sz w:val="20"/>
                <w:szCs w:val="20"/>
              </w:rPr>
              <w:t>-0.0098</w:t>
            </w:r>
          </w:p>
        </w:tc>
      </w:tr>
      <w:tr w:rsidR="00315077" w:rsidRPr="00D75E5D" w14:paraId="2D56608F" w14:textId="77777777" w:rsidTr="00315077">
        <w:trPr>
          <w:trHeight w:val="300"/>
        </w:trPr>
        <w:tc>
          <w:tcPr>
            <w:tcW w:w="2003" w:type="pct"/>
            <w:tcBorders>
              <w:top w:val="nil"/>
              <w:left w:val="nil"/>
              <w:bottom w:val="nil"/>
              <w:right w:val="nil"/>
            </w:tcBorders>
            <w:shd w:val="clear" w:color="auto" w:fill="auto"/>
            <w:noWrap/>
            <w:vAlign w:val="bottom"/>
            <w:hideMark/>
          </w:tcPr>
          <w:p w14:paraId="347BDC1F" w14:textId="77777777" w:rsidR="00315077" w:rsidRPr="00971912" w:rsidRDefault="00315077" w:rsidP="00315077">
            <w:pPr>
              <w:rPr>
                <w:color w:val="000000"/>
                <w:sz w:val="20"/>
                <w:szCs w:val="20"/>
              </w:rPr>
            </w:pPr>
            <w:r w:rsidRPr="00971912">
              <w:rPr>
                <w:color w:val="000000"/>
                <w:sz w:val="20"/>
                <w:szCs w:val="20"/>
              </w:rPr>
              <w:t xml:space="preserve">China </w:t>
            </w:r>
            <w:proofErr w:type="spellStart"/>
            <w:r w:rsidRPr="00971912">
              <w:rPr>
                <w:color w:val="000000"/>
                <w:sz w:val="20"/>
                <w:szCs w:val="20"/>
              </w:rPr>
              <w:t>Huaneng</w:t>
            </w:r>
            <w:proofErr w:type="spellEnd"/>
            <w:r w:rsidRPr="00971912">
              <w:rPr>
                <w:color w:val="000000"/>
                <w:sz w:val="20"/>
                <w:szCs w:val="20"/>
              </w:rPr>
              <w:t xml:space="preserve"> Group Corporation</w:t>
            </w:r>
          </w:p>
        </w:tc>
        <w:tc>
          <w:tcPr>
            <w:tcW w:w="1455" w:type="pct"/>
            <w:tcBorders>
              <w:top w:val="nil"/>
              <w:left w:val="nil"/>
              <w:bottom w:val="nil"/>
              <w:right w:val="nil"/>
            </w:tcBorders>
            <w:vAlign w:val="bottom"/>
          </w:tcPr>
          <w:p w14:paraId="0EB856B9" w14:textId="77777777" w:rsidR="00315077" w:rsidRPr="00971912" w:rsidRDefault="00315077" w:rsidP="00315077">
            <w:pPr>
              <w:rPr>
                <w:color w:val="000000"/>
                <w:sz w:val="20"/>
                <w:szCs w:val="20"/>
              </w:rPr>
            </w:pPr>
            <w:r w:rsidRPr="00971912">
              <w:rPr>
                <w:color w:val="000000"/>
                <w:sz w:val="20"/>
                <w:szCs w:val="20"/>
              </w:rPr>
              <w:t>Electricity</w:t>
            </w:r>
          </w:p>
        </w:tc>
        <w:tc>
          <w:tcPr>
            <w:tcW w:w="639" w:type="pct"/>
            <w:tcBorders>
              <w:top w:val="nil"/>
              <w:left w:val="nil"/>
              <w:bottom w:val="nil"/>
              <w:right w:val="nil"/>
            </w:tcBorders>
            <w:shd w:val="clear" w:color="auto" w:fill="auto"/>
            <w:noWrap/>
            <w:vAlign w:val="bottom"/>
            <w:hideMark/>
          </w:tcPr>
          <w:p w14:paraId="50E3B94B"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4B485407" w14:textId="77777777" w:rsidR="00315077" w:rsidRPr="00971912" w:rsidRDefault="00315077" w:rsidP="00315077">
            <w:pPr>
              <w:jc w:val="right"/>
              <w:rPr>
                <w:color w:val="000000"/>
                <w:sz w:val="20"/>
                <w:szCs w:val="20"/>
              </w:rPr>
            </w:pPr>
            <w:r w:rsidRPr="00971912">
              <w:rPr>
                <w:color w:val="000000"/>
                <w:sz w:val="20"/>
                <w:szCs w:val="20"/>
              </w:rPr>
              <w:t>0.35</w:t>
            </w:r>
          </w:p>
        </w:tc>
        <w:tc>
          <w:tcPr>
            <w:tcW w:w="527" w:type="pct"/>
            <w:tcBorders>
              <w:top w:val="nil"/>
              <w:left w:val="nil"/>
              <w:bottom w:val="nil"/>
              <w:right w:val="nil"/>
            </w:tcBorders>
            <w:shd w:val="clear" w:color="auto" w:fill="auto"/>
            <w:noWrap/>
            <w:vAlign w:val="bottom"/>
            <w:hideMark/>
          </w:tcPr>
          <w:p w14:paraId="30CC6BF5" w14:textId="77777777" w:rsidR="00315077" w:rsidRPr="00971912" w:rsidRDefault="00315077" w:rsidP="00315077">
            <w:pPr>
              <w:jc w:val="right"/>
              <w:rPr>
                <w:color w:val="000000"/>
                <w:sz w:val="20"/>
                <w:szCs w:val="20"/>
              </w:rPr>
            </w:pPr>
            <w:r w:rsidRPr="00971912">
              <w:rPr>
                <w:color w:val="000000"/>
                <w:sz w:val="20"/>
                <w:szCs w:val="20"/>
              </w:rPr>
              <w:t>0.0041</w:t>
            </w:r>
          </w:p>
        </w:tc>
      </w:tr>
      <w:tr w:rsidR="00315077" w:rsidRPr="00D75E5D" w14:paraId="7AD534B3" w14:textId="77777777" w:rsidTr="00315077">
        <w:trPr>
          <w:trHeight w:val="300"/>
        </w:trPr>
        <w:tc>
          <w:tcPr>
            <w:tcW w:w="2003" w:type="pct"/>
            <w:tcBorders>
              <w:top w:val="nil"/>
              <w:left w:val="nil"/>
              <w:bottom w:val="nil"/>
              <w:right w:val="nil"/>
            </w:tcBorders>
            <w:shd w:val="clear" w:color="auto" w:fill="auto"/>
            <w:noWrap/>
            <w:vAlign w:val="bottom"/>
            <w:hideMark/>
          </w:tcPr>
          <w:p w14:paraId="65C31D85" w14:textId="77777777" w:rsidR="00315077" w:rsidRPr="00971912" w:rsidRDefault="00315077" w:rsidP="00315077">
            <w:pPr>
              <w:rPr>
                <w:color w:val="000000"/>
                <w:sz w:val="20"/>
                <w:szCs w:val="20"/>
              </w:rPr>
            </w:pPr>
            <w:r w:rsidRPr="00971912">
              <w:rPr>
                <w:color w:val="000000"/>
                <w:sz w:val="20"/>
                <w:szCs w:val="20"/>
              </w:rPr>
              <w:t xml:space="preserve">China </w:t>
            </w:r>
            <w:proofErr w:type="spellStart"/>
            <w:r w:rsidRPr="00971912">
              <w:rPr>
                <w:color w:val="000000"/>
                <w:sz w:val="20"/>
                <w:szCs w:val="20"/>
              </w:rPr>
              <w:t>Datang</w:t>
            </w:r>
            <w:proofErr w:type="spellEnd"/>
            <w:r w:rsidRPr="00971912">
              <w:rPr>
                <w:color w:val="000000"/>
                <w:sz w:val="20"/>
                <w:szCs w:val="20"/>
              </w:rPr>
              <w:t xml:space="preserve"> Corporation</w:t>
            </w:r>
          </w:p>
        </w:tc>
        <w:tc>
          <w:tcPr>
            <w:tcW w:w="1455" w:type="pct"/>
            <w:tcBorders>
              <w:top w:val="nil"/>
              <w:left w:val="nil"/>
              <w:bottom w:val="nil"/>
              <w:right w:val="nil"/>
            </w:tcBorders>
            <w:vAlign w:val="bottom"/>
          </w:tcPr>
          <w:p w14:paraId="095073C7" w14:textId="77777777" w:rsidR="00315077" w:rsidRPr="00971912" w:rsidRDefault="00315077" w:rsidP="00315077">
            <w:pPr>
              <w:rPr>
                <w:color w:val="000000"/>
                <w:sz w:val="20"/>
                <w:szCs w:val="20"/>
              </w:rPr>
            </w:pPr>
            <w:r w:rsidRPr="00971912">
              <w:rPr>
                <w:color w:val="000000"/>
                <w:sz w:val="20"/>
                <w:szCs w:val="20"/>
              </w:rPr>
              <w:t>Electricity</w:t>
            </w:r>
          </w:p>
        </w:tc>
        <w:tc>
          <w:tcPr>
            <w:tcW w:w="639" w:type="pct"/>
            <w:tcBorders>
              <w:top w:val="nil"/>
              <w:left w:val="nil"/>
              <w:bottom w:val="nil"/>
              <w:right w:val="nil"/>
            </w:tcBorders>
            <w:shd w:val="clear" w:color="auto" w:fill="auto"/>
            <w:noWrap/>
            <w:vAlign w:val="bottom"/>
            <w:hideMark/>
          </w:tcPr>
          <w:p w14:paraId="6E764174"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49B9E6C4" w14:textId="77777777" w:rsidR="00315077" w:rsidRPr="00971912" w:rsidRDefault="00315077" w:rsidP="00315077">
            <w:pPr>
              <w:jc w:val="right"/>
              <w:rPr>
                <w:color w:val="000000"/>
                <w:sz w:val="20"/>
                <w:szCs w:val="20"/>
              </w:rPr>
            </w:pPr>
            <w:r w:rsidRPr="00971912">
              <w:rPr>
                <w:color w:val="000000"/>
                <w:sz w:val="20"/>
                <w:szCs w:val="20"/>
              </w:rPr>
              <w:t>0.21</w:t>
            </w:r>
          </w:p>
        </w:tc>
        <w:tc>
          <w:tcPr>
            <w:tcW w:w="527" w:type="pct"/>
            <w:tcBorders>
              <w:top w:val="nil"/>
              <w:left w:val="nil"/>
              <w:bottom w:val="nil"/>
              <w:right w:val="nil"/>
            </w:tcBorders>
            <w:shd w:val="clear" w:color="auto" w:fill="auto"/>
            <w:noWrap/>
            <w:vAlign w:val="bottom"/>
            <w:hideMark/>
          </w:tcPr>
          <w:p w14:paraId="7BD6CF22" w14:textId="77777777" w:rsidR="00315077" w:rsidRPr="00971912" w:rsidRDefault="00315077" w:rsidP="00315077">
            <w:pPr>
              <w:jc w:val="right"/>
              <w:rPr>
                <w:color w:val="000000"/>
                <w:sz w:val="20"/>
                <w:szCs w:val="20"/>
              </w:rPr>
            </w:pPr>
            <w:r w:rsidRPr="00971912">
              <w:rPr>
                <w:color w:val="000000"/>
                <w:sz w:val="20"/>
                <w:szCs w:val="20"/>
              </w:rPr>
              <w:t>-0.0298</w:t>
            </w:r>
          </w:p>
        </w:tc>
      </w:tr>
      <w:tr w:rsidR="00315077" w:rsidRPr="00D75E5D" w14:paraId="57F7AF7B" w14:textId="77777777" w:rsidTr="00315077">
        <w:trPr>
          <w:trHeight w:val="300"/>
        </w:trPr>
        <w:tc>
          <w:tcPr>
            <w:tcW w:w="2003" w:type="pct"/>
            <w:tcBorders>
              <w:top w:val="nil"/>
              <w:left w:val="nil"/>
              <w:bottom w:val="nil"/>
              <w:right w:val="nil"/>
            </w:tcBorders>
            <w:shd w:val="clear" w:color="auto" w:fill="auto"/>
            <w:noWrap/>
            <w:vAlign w:val="bottom"/>
            <w:hideMark/>
          </w:tcPr>
          <w:p w14:paraId="60539FDA" w14:textId="77777777" w:rsidR="00315077" w:rsidRPr="00971912" w:rsidRDefault="00315077" w:rsidP="00315077">
            <w:pPr>
              <w:rPr>
                <w:color w:val="000000"/>
                <w:sz w:val="20"/>
                <w:szCs w:val="20"/>
              </w:rPr>
            </w:pPr>
            <w:r w:rsidRPr="00971912">
              <w:rPr>
                <w:color w:val="000000"/>
                <w:sz w:val="20"/>
                <w:szCs w:val="20"/>
              </w:rPr>
              <w:t xml:space="preserve">China </w:t>
            </w:r>
            <w:proofErr w:type="spellStart"/>
            <w:r w:rsidRPr="00971912">
              <w:rPr>
                <w:color w:val="000000"/>
                <w:sz w:val="20"/>
                <w:szCs w:val="20"/>
              </w:rPr>
              <w:t>Huadian</w:t>
            </w:r>
            <w:proofErr w:type="spellEnd"/>
            <w:r w:rsidRPr="00971912">
              <w:rPr>
                <w:color w:val="000000"/>
                <w:sz w:val="20"/>
                <w:szCs w:val="20"/>
              </w:rPr>
              <w:t xml:space="preserve"> Corporation</w:t>
            </w:r>
          </w:p>
        </w:tc>
        <w:tc>
          <w:tcPr>
            <w:tcW w:w="1455" w:type="pct"/>
            <w:tcBorders>
              <w:top w:val="nil"/>
              <w:left w:val="nil"/>
              <w:bottom w:val="nil"/>
              <w:right w:val="nil"/>
            </w:tcBorders>
            <w:vAlign w:val="bottom"/>
          </w:tcPr>
          <w:p w14:paraId="03284C89" w14:textId="77777777" w:rsidR="00315077" w:rsidRPr="00971912" w:rsidRDefault="00315077" w:rsidP="00315077">
            <w:pPr>
              <w:rPr>
                <w:color w:val="000000"/>
                <w:sz w:val="20"/>
                <w:szCs w:val="20"/>
              </w:rPr>
            </w:pPr>
            <w:r w:rsidRPr="00971912">
              <w:rPr>
                <w:color w:val="000000"/>
                <w:sz w:val="20"/>
                <w:szCs w:val="20"/>
              </w:rPr>
              <w:t>Electricity</w:t>
            </w:r>
          </w:p>
        </w:tc>
        <w:tc>
          <w:tcPr>
            <w:tcW w:w="639" w:type="pct"/>
            <w:tcBorders>
              <w:top w:val="nil"/>
              <w:left w:val="nil"/>
              <w:bottom w:val="nil"/>
              <w:right w:val="nil"/>
            </w:tcBorders>
            <w:shd w:val="clear" w:color="auto" w:fill="auto"/>
            <w:noWrap/>
            <w:vAlign w:val="bottom"/>
            <w:hideMark/>
          </w:tcPr>
          <w:p w14:paraId="3C0CCB2F"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51DB9262" w14:textId="77777777" w:rsidR="00315077" w:rsidRPr="00971912" w:rsidRDefault="00315077" w:rsidP="00315077">
            <w:pPr>
              <w:jc w:val="right"/>
              <w:rPr>
                <w:color w:val="000000"/>
                <w:sz w:val="20"/>
                <w:szCs w:val="20"/>
              </w:rPr>
            </w:pPr>
            <w:r w:rsidRPr="00971912">
              <w:rPr>
                <w:color w:val="000000"/>
                <w:sz w:val="20"/>
                <w:szCs w:val="20"/>
              </w:rPr>
              <w:t>0.16</w:t>
            </w:r>
          </w:p>
        </w:tc>
        <w:tc>
          <w:tcPr>
            <w:tcW w:w="527" w:type="pct"/>
            <w:tcBorders>
              <w:top w:val="nil"/>
              <w:left w:val="nil"/>
              <w:bottom w:val="nil"/>
              <w:right w:val="nil"/>
            </w:tcBorders>
            <w:shd w:val="clear" w:color="auto" w:fill="auto"/>
            <w:noWrap/>
            <w:vAlign w:val="bottom"/>
            <w:hideMark/>
          </w:tcPr>
          <w:p w14:paraId="6F8B8EF1" w14:textId="77777777" w:rsidR="00315077" w:rsidRPr="00971912" w:rsidRDefault="00315077" w:rsidP="00315077">
            <w:pPr>
              <w:jc w:val="right"/>
              <w:rPr>
                <w:color w:val="000000"/>
                <w:sz w:val="20"/>
                <w:szCs w:val="20"/>
              </w:rPr>
            </w:pPr>
            <w:r w:rsidRPr="00971912">
              <w:rPr>
                <w:color w:val="000000"/>
                <w:sz w:val="20"/>
                <w:szCs w:val="20"/>
              </w:rPr>
              <w:t>0.0175</w:t>
            </w:r>
          </w:p>
        </w:tc>
      </w:tr>
      <w:tr w:rsidR="00315077" w:rsidRPr="00D75E5D" w14:paraId="5D83231A" w14:textId="77777777" w:rsidTr="00315077">
        <w:trPr>
          <w:trHeight w:val="300"/>
        </w:trPr>
        <w:tc>
          <w:tcPr>
            <w:tcW w:w="2003" w:type="pct"/>
            <w:tcBorders>
              <w:top w:val="nil"/>
              <w:left w:val="nil"/>
              <w:bottom w:val="nil"/>
              <w:right w:val="nil"/>
            </w:tcBorders>
            <w:shd w:val="clear" w:color="auto" w:fill="auto"/>
            <w:noWrap/>
            <w:vAlign w:val="bottom"/>
            <w:hideMark/>
          </w:tcPr>
          <w:p w14:paraId="5413EC4E" w14:textId="77777777" w:rsidR="00315077" w:rsidRPr="00971912" w:rsidRDefault="00315077" w:rsidP="00315077">
            <w:pPr>
              <w:rPr>
                <w:color w:val="000000"/>
                <w:sz w:val="20"/>
                <w:szCs w:val="20"/>
              </w:rPr>
            </w:pPr>
            <w:r w:rsidRPr="00971912">
              <w:rPr>
                <w:color w:val="000000"/>
                <w:sz w:val="20"/>
                <w:szCs w:val="20"/>
              </w:rPr>
              <w:t xml:space="preserve">China </w:t>
            </w:r>
            <w:proofErr w:type="spellStart"/>
            <w:r w:rsidRPr="00971912">
              <w:rPr>
                <w:color w:val="000000"/>
                <w:sz w:val="20"/>
                <w:szCs w:val="20"/>
              </w:rPr>
              <w:t>Guodian</w:t>
            </w:r>
            <w:proofErr w:type="spellEnd"/>
            <w:r w:rsidRPr="00971912">
              <w:rPr>
                <w:color w:val="000000"/>
                <w:sz w:val="20"/>
                <w:szCs w:val="20"/>
              </w:rPr>
              <w:t xml:space="preserve"> Corporation</w:t>
            </w:r>
          </w:p>
        </w:tc>
        <w:tc>
          <w:tcPr>
            <w:tcW w:w="1455" w:type="pct"/>
            <w:tcBorders>
              <w:top w:val="nil"/>
              <w:left w:val="nil"/>
              <w:bottom w:val="nil"/>
              <w:right w:val="nil"/>
            </w:tcBorders>
            <w:vAlign w:val="bottom"/>
          </w:tcPr>
          <w:p w14:paraId="1B5D5863" w14:textId="77777777" w:rsidR="00315077" w:rsidRPr="00971912" w:rsidRDefault="00315077" w:rsidP="00315077">
            <w:pPr>
              <w:rPr>
                <w:color w:val="000000"/>
                <w:sz w:val="20"/>
                <w:szCs w:val="20"/>
              </w:rPr>
            </w:pPr>
            <w:r w:rsidRPr="00971912">
              <w:rPr>
                <w:color w:val="000000"/>
                <w:sz w:val="20"/>
                <w:szCs w:val="20"/>
              </w:rPr>
              <w:t>Electricity</w:t>
            </w:r>
          </w:p>
        </w:tc>
        <w:tc>
          <w:tcPr>
            <w:tcW w:w="639" w:type="pct"/>
            <w:tcBorders>
              <w:top w:val="nil"/>
              <w:left w:val="nil"/>
              <w:bottom w:val="nil"/>
              <w:right w:val="nil"/>
            </w:tcBorders>
            <w:shd w:val="clear" w:color="auto" w:fill="auto"/>
            <w:noWrap/>
            <w:vAlign w:val="bottom"/>
            <w:hideMark/>
          </w:tcPr>
          <w:p w14:paraId="67147E97"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184962A4" w14:textId="77777777" w:rsidR="00315077" w:rsidRPr="00971912" w:rsidRDefault="00315077" w:rsidP="00315077">
            <w:pPr>
              <w:jc w:val="right"/>
              <w:rPr>
                <w:color w:val="000000"/>
                <w:sz w:val="20"/>
                <w:szCs w:val="20"/>
              </w:rPr>
            </w:pPr>
            <w:r w:rsidRPr="00971912">
              <w:rPr>
                <w:color w:val="000000"/>
                <w:sz w:val="20"/>
                <w:szCs w:val="20"/>
              </w:rPr>
              <w:t>0.28</w:t>
            </w:r>
          </w:p>
        </w:tc>
        <w:tc>
          <w:tcPr>
            <w:tcW w:w="527" w:type="pct"/>
            <w:tcBorders>
              <w:top w:val="nil"/>
              <w:left w:val="nil"/>
              <w:bottom w:val="nil"/>
              <w:right w:val="nil"/>
            </w:tcBorders>
            <w:shd w:val="clear" w:color="auto" w:fill="auto"/>
            <w:noWrap/>
            <w:vAlign w:val="bottom"/>
            <w:hideMark/>
          </w:tcPr>
          <w:p w14:paraId="5259E3C0" w14:textId="77777777" w:rsidR="00315077" w:rsidRPr="00971912" w:rsidRDefault="00315077" w:rsidP="00315077">
            <w:pPr>
              <w:jc w:val="right"/>
              <w:rPr>
                <w:color w:val="000000"/>
                <w:sz w:val="20"/>
                <w:szCs w:val="20"/>
              </w:rPr>
            </w:pPr>
            <w:r w:rsidRPr="00971912">
              <w:rPr>
                <w:color w:val="000000"/>
                <w:sz w:val="20"/>
                <w:szCs w:val="20"/>
              </w:rPr>
              <w:t>0.0122</w:t>
            </w:r>
          </w:p>
        </w:tc>
      </w:tr>
      <w:tr w:rsidR="00315077" w:rsidRPr="00D75E5D" w14:paraId="2AFD0687" w14:textId="77777777" w:rsidTr="00315077">
        <w:trPr>
          <w:trHeight w:val="300"/>
        </w:trPr>
        <w:tc>
          <w:tcPr>
            <w:tcW w:w="2003" w:type="pct"/>
            <w:tcBorders>
              <w:top w:val="nil"/>
              <w:left w:val="nil"/>
              <w:bottom w:val="nil"/>
              <w:right w:val="nil"/>
            </w:tcBorders>
            <w:shd w:val="clear" w:color="auto" w:fill="auto"/>
            <w:noWrap/>
            <w:vAlign w:val="bottom"/>
            <w:hideMark/>
          </w:tcPr>
          <w:p w14:paraId="0AE67AEF" w14:textId="77777777" w:rsidR="00315077" w:rsidRPr="00971912" w:rsidRDefault="00315077" w:rsidP="00315077">
            <w:pPr>
              <w:rPr>
                <w:color w:val="000000"/>
                <w:sz w:val="20"/>
                <w:szCs w:val="20"/>
              </w:rPr>
            </w:pPr>
            <w:r w:rsidRPr="00971912">
              <w:rPr>
                <w:color w:val="000000"/>
                <w:sz w:val="20"/>
                <w:szCs w:val="20"/>
              </w:rPr>
              <w:t>China Power Investment Corporation</w:t>
            </w:r>
          </w:p>
        </w:tc>
        <w:tc>
          <w:tcPr>
            <w:tcW w:w="1455" w:type="pct"/>
            <w:tcBorders>
              <w:top w:val="nil"/>
              <w:left w:val="nil"/>
              <w:bottom w:val="nil"/>
              <w:right w:val="nil"/>
            </w:tcBorders>
            <w:vAlign w:val="bottom"/>
          </w:tcPr>
          <w:p w14:paraId="4706D82C" w14:textId="77777777" w:rsidR="00315077" w:rsidRPr="00971912" w:rsidRDefault="00315077" w:rsidP="00315077">
            <w:pPr>
              <w:rPr>
                <w:color w:val="000000"/>
                <w:sz w:val="20"/>
                <w:szCs w:val="20"/>
              </w:rPr>
            </w:pPr>
            <w:r w:rsidRPr="00971912">
              <w:rPr>
                <w:color w:val="000000"/>
                <w:sz w:val="20"/>
                <w:szCs w:val="20"/>
              </w:rPr>
              <w:t>Electricity</w:t>
            </w:r>
          </w:p>
        </w:tc>
        <w:tc>
          <w:tcPr>
            <w:tcW w:w="639" w:type="pct"/>
            <w:tcBorders>
              <w:top w:val="nil"/>
              <w:left w:val="nil"/>
              <w:bottom w:val="nil"/>
              <w:right w:val="nil"/>
            </w:tcBorders>
            <w:shd w:val="clear" w:color="auto" w:fill="auto"/>
            <w:noWrap/>
            <w:vAlign w:val="bottom"/>
            <w:hideMark/>
          </w:tcPr>
          <w:p w14:paraId="6C9FF669" w14:textId="77777777" w:rsidR="00315077" w:rsidRPr="00971912" w:rsidRDefault="00315077" w:rsidP="00315077">
            <w:pPr>
              <w:rPr>
                <w:color w:val="000000"/>
                <w:sz w:val="20"/>
                <w:szCs w:val="20"/>
              </w:rPr>
            </w:pPr>
            <w:r w:rsidRPr="00971912">
              <w:rPr>
                <w:color w:val="000000"/>
                <w:sz w:val="20"/>
                <w:szCs w:val="20"/>
              </w:rPr>
              <w:t>2003-2014</w:t>
            </w:r>
          </w:p>
        </w:tc>
        <w:tc>
          <w:tcPr>
            <w:tcW w:w="376" w:type="pct"/>
            <w:tcBorders>
              <w:top w:val="nil"/>
              <w:left w:val="nil"/>
              <w:bottom w:val="nil"/>
              <w:right w:val="nil"/>
            </w:tcBorders>
            <w:shd w:val="clear" w:color="auto" w:fill="auto"/>
            <w:noWrap/>
            <w:vAlign w:val="bottom"/>
            <w:hideMark/>
          </w:tcPr>
          <w:p w14:paraId="4FBCFF99" w14:textId="77777777" w:rsidR="00315077" w:rsidRPr="00971912" w:rsidRDefault="00315077" w:rsidP="00315077">
            <w:pPr>
              <w:jc w:val="right"/>
              <w:rPr>
                <w:color w:val="000000"/>
                <w:sz w:val="20"/>
                <w:szCs w:val="20"/>
              </w:rPr>
            </w:pPr>
            <w:r w:rsidRPr="00971912">
              <w:rPr>
                <w:color w:val="000000"/>
                <w:sz w:val="20"/>
                <w:szCs w:val="20"/>
              </w:rPr>
              <w:t>0.26</w:t>
            </w:r>
          </w:p>
        </w:tc>
        <w:tc>
          <w:tcPr>
            <w:tcW w:w="527" w:type="pct"/>
            <w:tcBorders>
              <w:top w:val="nil"/>
              <w:left w:val="nil"/>
              <w:bottom w:val="nil"/>
              <w:right w:val="nil"/>
            </w:tcBorders>
            <w:shd w:val="clear" w:color="auto" w:fill="auto"/>
            <w:noWrap/>
            <w:vAlign w:val="bottom"/>
            <w:hideMark/>
          </w:tcPr>
          <w:p w14:paraId="20A66853" w14:textId="77777777" w:rsidR="00315077" w:rsidRPr="00971912" w:rsidRDefault="00315077" w:rsidP="00315077">
            <w:pPr>
              <w:jc w:val="right"/>
              <w:rPr>
                <w:color w:val="000000"/>
                <w:sz w:val="20"/>
                <w:szCs w:val="20"/>
              </w:rPr>
            </w:pPr>
            <w:r w:rsidRPr="00971912">
              <w:rPr>
                <w:color w:val="000000"/>
                <w:sz w:val="20"/>
                <w:szCs w:val="20"/>
              </w:rPr>
              <w:t>-0.0067</w:t>
            </w:r>
          </w:p>
        </w:tc>
      </w:tr>
      <w:tr w:rsidR="00315077" w:rsidRPr="00D75E5D" w14:paraId="2EB7526B" w14:textId="77777777" w:rsidTr="00315077">
        <w:trPr>
          <w:trHeight w:val="300"/>
        </w:trPr>
        <w:tc>
          <w:tcPr>
            <w:tcW w:w="2003" w:type="pct"/>
            <w:tcBorders>
              <w:top w:val="nil"/>
              <w:left w:val="nil"/>
              <w:bottom w:val="nil"/>
              <w:right w:val="nil"/>
            </w:tcBorders>
            <w:shd w:val="clear" w:color="auto" w:fill="auto"/>
            <w:noWrap/>
            <w:vAlign w:val="bottom"/>
            <w:hideMark/>
          </w:tcPr>
          <w:p w14:paraId="47F042BB" w14:textId="77777777" w:rsidR="00315077" w:rsidRPr="00971912" w:rsidRDefault="00315077" w:rsidP="00315077">
            <w:pPr>
              <w:rPr>
                <w:color w:val="000000"/>
                <w:sz w:val="20"/>
                <w:szCs w:val="20"/>
              </w:rPr>
            </w:pPr>
            <w:r w:rsidRPr="00971912">
              <w:rPr>
                <w:color w:val="000000"/>
                <w:sz w:val="20"/>
                <w:szCs w:val="20"/>
              </w:rPr>
              <w:t>China Three Gorges Corporation</w:t>
            </w:r>
          </w:p>
        </w:tc>
        <w:tc>
          <w:tcPr>
            <w:tcW w:w="1455" w:type="pct"/>
            <w:tcBorders>
              <w:top w:val="nil"/>
              <w:left w:val="nil"/>
              <w:bottom w:val="nil"/>
              <w:right w:val="nil"/>
            </w:tcBorders>
            <w:vAlign w:val="bottom"/>
          </w:tcPr>
          <w:p w14:paraId="673CEA08" w14:textId="77777777" w:rsidR="00315077" w:rsidRPr="00971912" w:rsidRDefault="00315077" w:rsidP="00315077">
            <w:pPr>
              <w:rPr>
                <w:color w:val="000000"/>
                <w:sz w:val="20"/>
                <w:szCs w:val="20"/>
              </w:rPr>
            </w:pPr>
            <w:r w:rsidRPr="00971912">
              <w:rPr>
                <w:color w:val="000000"/>
                <w:sz w:val="20"/>
                <w:szCs w:val="20"/>
              </w:rPr>
              <w:t>Electricity</w:t>
            </w:r>
          </w:p>
        </w:tc>
        <w:tc>
          <w:tcPr>
            <w:tcW w:w="639" w:type="pct"/>
            <w:tcBorders>
              <w:top w:val="nil"/>
              <w:left w:val="nil"/>
              <w:bottom w:val="nil"/>
              <w:right w:val="nil"/>
            </w:tcBorders>
            <w:shd w:val="clear" w:color="auto" w:fill="auto"/>
            <w:noWrap/>
            <w:vAlign w:val="bottom"/>
            <w:hideMark/>
          </w:tcPr>
          <w:p w14:paraId="26EB168A"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23CC799C" w14:textId="77777777" w:rsidR="00315077" w:rsidRPr="00971912" w:rsidRDefault="00315077" w:rsidP="00315077">
            <w:pPr>
              <w:jc w:val="right"/>
              <w:rPr>
                <w:color w:val="000000"/>
                <w:sz w:val="20"/>
                <w:szCs w:val="20"/>
              </w:rPr>
            </w:pPr>
            <w:r w:rsidRPr="00971912">
              <w:rPr>
                <w:color w:val="000000"/>
                <w:sz w:val="20"/>
                <w:szCs w:val="20"/>
              </w:rPr>
              <w:t>0.66</w:t>
            </w:r>
          </w:p>
        </w:tc>
        <w:tc>
          <w:tcPr>
            <w:tcW w:w="527" w:type="pct"/>
            <w:tcBorders>
              <w:top w:val="nil"/>
              <w:left w:val="nil"/>
              <w:bottom w:val="nil"/>
              <w:right w:val="nil"/>
            </w:tcBorders>
            <w:shd w:val="clear" w:color="auto" w:fill="auto"/>
            <w:noWrap/>
            <w:vAlign w:val="bottom"/>
            <w:hideMark/>
          </w:tcPr>
          <w:p w14:paraId="76622877" w14:textId="77777777" w:rsidR="00315077" w:rsidRPr="00971912" w:rsidRDefault="00315077" w:rsidP="00315077">
            <w:pPr>
              <w:jc w:val="right"/>
              <w:rPr>
                <w:color w:val="000000"/>
                <w:sz w:val="20"/>
                <w:szCs w:val="20"/>
              </w:rPr>
            </w:pPr>
            <w:r w:rsidRPr="00971912">
              <w:rPr>
                <w:color w:val="000000"/>
                <w:sz w:val="20"/>
                <w:szCs w:val="20"/>
              </w:rPr>
              <w:t>-0.0069</w:t>
            </w:r>
          </w:p>
        </w:tc>
      </w:tr>
      <w:tr w:rsidR="00315077" w:rsidRPr="00D75E5D" w14:paraId="77AC6B45" w14:textId="77777777" w:rsidTr="00315077">
        <w:trPr>
          <w:trHeight w:val="300"/>
        </w:trPr>
        <w:tc>
          <w:tcPr>
            <w:tcW w:w="2003" w:type="pct"/>
            <w:tcBorders>
              <w:top w:val="nil"/>
              <w:left w:val="nil"/>
              <w:bottom w:val="nil"/>
              <w:right w:val="nil"/>
            </w:tcBorders>
            <w:shd w:val="clear" w:color="auto" w:fill="auto"/>
            <w:noWrap/>
            <w:vAlign w:val="bottom"/>
            <w:hideMark/>
          </w:tcPr>
          <w:p w14:paraId="49E1B002" w14:textId="77777777" w:rsidR="00315077" w:rsidRPr="00971912" w:rsidRDefault="00315077" w:rsidP="00315077">
            <w:pPr>
              <w:rPr>
                <w:color w:val="000000"/>
                <w:sz w:val="20"/>
                <w:szCs w:val="20"/>
              </w:rPr>
            </w:pPr>
            <w:r w:rsidRPr="00971912">
              <w:rPr>
                <w:color w:val="000000"/>
                <w:sz w:val="20"/>
                <w:szCs w:val="20"/>
              </w:rPr>
              <w:t>Shenhua Group Co. Ltd</w:t>
            </w:r>
          </w:p>
        </w:tc>
        <w:tc>
          <w:tcPr>
            <w:tcW w:w="1455" w:type="pct"/>
            <w:tcBorders>
              <w:top w:val="nil"/>
              <w:left w:val="nil"/>
              <w:bottom w:val="nil"/>
              <w:right w:val="nil"/>
            </w:tcBorders>
            <w:vAlign w:val="bottom"/>
          </w:tcPr>
          <w:p w14:paraId="722A0E19" w14:textId="77777777" w:rsidR="00315077" w:rsidRPr="00971912" w:rsidRDefault="00315077" w:rsidP="00315077">
            <w:pPr>
              <w:rPr>
                <w:color w:val="000000"/>
                <w:sz w:val="20"/>
                <w:szCs w:val="20"/>
              </w:rPr>
            </w:pPr>
            <w:r w:rsidRPr="00971912">
              <w:rPr>
                <w:color w:val="000000"/>
                <w:sz w:val="20"/>
                <w:szCs w:val="20"/>
              </w:rPr>
              <w:t>Coal and consumer fuel</w:t>
            </w:r>
          </w:p>
        </w:tc>
        <w:tc>
          <w:tcPr>
            <w:tcW w:w="639" w:type="pct"/>
            <w:tcBorders>
              <w:top w:val="nil"/>
              <w:left w:val="nil"/>
              <w:bottom w:val="nil"/>
              <w:right w:val="nil"/>
            </w:tcBorders>
            <w:shd w:val="clear" w:color="auto" w:fill="auto"/>
            <w:noWrap/>
            <w:vAlign w:val="bottom"/>
            <w:hideMark/>
          </w:tcPr>
          <w:p w14:paraId="526BB8F6" w14:textId="77777777" w:rsidR="00315077" w:rsidRPr="00971912" w:rsidRDefault="00315077" w:rsidP="00315077">
            <w:pPr>
              <w:rPr>
                <w:color w:val="000000"/>
                <w:sz w:val="20"/>
                <w:szCs w:val="20"/>
              </w:rPr>
            </w:pPr>
            <w:r w:rsidRPr="00971912">
              <w:rPr>
                <w:color w:val="000000"/>
                <w:sz w:val="20"/>
                <w:szCs w:val="20"/>
              </w:rPr>
              <w:t>2004-2017</w:t>
            </w:r>
          </w:p>
        </w:tc>
        <w:tc>
          <w:tcPr>
            <w:tcW w:w="376" w:type="pct"/>
            <w:tcBorders>
              <w:top w:val="nil"/>
              <w:left w:val="nil"/>
              <w:bottom w:val="nil"/>
              <w:right w:val="nil"/>
            </w:tcBorders>
            <w:shd w:val="clear" w:color="auto" w:fill="auto"/>
            <w:noWrap/>
            <w:vAlign w:val="bottom"/>
            <w:hideMark/>
          </w:tcPr>
          <w:p w14:paraId="09A39428" w14:textId="77777777" w:rsidR="00315077" w:rsidRPr="00971912" w:rsidRDefault="00315077" w:rsidP="00315077">
            <w:pPr>
              <w:jc w:val="right"/>
              <w:rPr>
                <w:color w:val="000000"/>
                <w:sz w:val="20"/>
                <w:szCs w:val="20"/>
              </w:rPr>
            </w:pPr>
            <w:r w:rsidRPr="00971912">
              <w:rPr>
                <w:color w:val="000000"/>
                <w:sz w:val="20"/>
                <w:szCs w:val="20"/>
              </w:rPr>
              <w:t>1.05</w:t>
            </w:r>
          </w:p>
        </w:tc>
        <w:tc>
          <w:tcPr>
            <w:tcW w:w="527" w:type="pct"/>
            <w:tcBorders>
              <w:top w:val="nil"/>
              <w:left w:val="nil"/>
              <w:bottom w:val="nil"/>
              <w:right w:val="nil"/>
            </w:tcBorders>
            <w:shd w:val="clear" w:color="auto" w:fill="auto"/>
            <w:noWrap/>
            <w:vAlign w:val="bottom"/>
            <w:hideMark/>
          </w:tcPr>
          <w:p w14:paraId="63776D63" w14:textId="77777777" w:rsidR="00315077" w:rsidRPr="00971912" w:rsidRDefault="00315077" w:rsidP="00315077">
            <w:pPr>
              <w:jc w:val="right"/>
              <w:rPr>
                <w:color w:val="000000"/>
                <w:sz w:val="20"/>
                <w:szCs w:val="20"/>
              </w:rPr>
            </w:pPr>
            <w:r w:rsidRPr="00971912">
              <w:rPr>
                <w:color w:val="000000"/>
                <w:sz w:val="20"/>
                <w:szCs w:val="20"/>
              </w:rPr>
              <w:t>-0.0293</w:t>
            </w:r>
          </w:p>
        </w:tc>
      </w:tr>
      <w:tr w:rsidR="00315077" w:rsidRPr="00D75E5D" w14:paraId="64EB4DEE" w14:textId="77777777" w:rsidTr="00315077">
        <w:trPr>
          <w:trHeight w:val="300"/>
        </w:trPr>
        <w:tc>
          <w:tcPr>
            <w:tcW w:w="2003" w:type="pct"/>
            <w:tcBorders>
              <w:top w:val="nil"/>
              <w:left w:val="nil"/>
              <w:bottom w:val="nil"/>
              <w:right w:val="nil"/>
            </w:tcBorders>
            <w:shd w:val="clear" w:color="auto" w:fill="auto"/>
            <w:noWrap/>
            <w:vAlign w:val="bottom"/>
            <w:hideMark/>
          </w:tcPr>
          <w:p w14:paraId="2C9C1D05" w14:textId="77777777" w:rsidR="00315077" w:rsidRPr="00971912" w:rsidRDefault="00315077" w:rsidP="00315077">
            <w:pPr>
              <w:rPr>
                <w:color w:val="000000"/>
                <w:sz w:val="20"/>
                <w:szCs w:val="20"/>
              </w:rPr>
            </w:pPr>
            <w:r w:rsidRPr="00971912">
              <w:rPr>
                <w:color w:val="000000"/>
                <w:sz w:val="20"/>
                <w:szCs w:val="20"/>
              </w:rPr>
              <w:t xml:space="preserve">China Telecom Corporation </w:t>
            </w:r>
          </w:p>
        </w:tc>
        <w:tc>
          <w:tcPr>
            <w:tcW w:w="1455" w:type="pct"/>
            <w:tcBorders>
              <w:top w:val="nil"/>
              <w:left w:val="nil"/>
              <w:bottom w:val="nil"/>
              <w:right w:val="nil"/>
            </w:tcBorders>
            <w:vAlign w:val="bottom"/>
          </w:tcPr>
          <w:p w14:paraId="7C121278" w14:textId="77777777" w:rsidR="00315077" w:rsidRPr="00971912" w:rsidRDefault="00315077" w:rsidP="00315077">
            <w:pPr>
              <w:rPr>
                <w:color w:val="000000"/>
                <w:sz w:val="20"/>
                <w:szCs w:val="20"/>
              </w:rPr>
            </w:pPr>
            <w:r w:rsidRPr="00971912">
              <w:rPr>
                <w:color w:val="000000"/>
                <w:sz w:val="20"/>
                <w:szCs w:val="20"/>
              </w:rPr>
              <w:t>Integrated telecommunications services</w:t>
            </w:r>
          </w:p>
        </w:tc>
        <w:tc>
          <w:tcPr>
            <w:tcW w:w="639" w:type="pct"/>
            <w:tcBorders>
              <w:top w:val="nil"/>
              <w:left w:val="nil"/>
              <w:bottom w:val="nil"/>
              <w:right w:val="nil"/>
            </w:tcBorders>
            <w:shd w:val="clear" w:color="auto" w:fill="auto"/>
            <w:noWrap/>
            <w:vAlign w:val="bottom"/>
            <w:hideMark/>
          </w:tcPr>
          <w:p w14:paraId="5C5B74A3"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3B96728C" w14:textId="77777777" w:rsidR="00315077" w:rsidRPr="00971912" w:rsidRDefault="00315077" w:rsidP="00315077">
            <w:pPr>
              <w:jc w:val="right"/>
              <w:rPr>
                <w:color w:val="000000"/>
                <w:sz w:val="20"/>
                <w:szCs w:val="20"/>
              </w:rPr>
            </w:pPr>
            <w:r w:rsidRPr="00971912">
              <w:rPr>
                <w:color w:val="000000"/>
                <w:sz w:val="20"/>
                <w:szCs w:val="20"/>
              </w:rPr>
              <w:t>0.37</w:t>
            </w:r>
          </w:p>
        </w:tc>
        <w:tc>
          <w:tcPr>
            <w:tcW w:w="527" w:type="pct"/>
            <w:tcBorders>
              <w:top w:val="nil"/>
              <w:left w:val="nil"/>
              <w:bottom w:val="nil"/>
              <w:right w:val="nil"/>
            </w:tcBorders>
            <w:shd w:val="clear" w:color="auto" w:fill="auto"/>
            <w:noWrap/>
            <w:vAlign w:val="bottom"/>
            <w:hideMark/>
          </w:tcPr>
          <w:p w14:paraId="15B53CD4" w14:textId="77777777" w:rsidR="00315077" w:rsidRPr="00971912" w:rsidRDefault="00315077" w:rsidP="00315077">
            <w:pPr>
              <w:jc w:val="right"/>
              <w:rPr>
                <w:color w:val="000000"/>
                <w:sz w:val="20"/>
                <w:szCs w:val="20"/>
              </w:rPr>
            </w:pPr>
            <w:r w:rsidRPr="00971912">
              <w:rPr>
                <w:color w:val="000000"/>
                <w:sz w:val="20"/>
                <w:szCs w:val="20"/>
              </w:rPr>
              <w:t>-0.0027</w:t>
            </w:r>
          </w:p>
        </w:tc>
      </w:tr>
      <w:tr w:rsidR="00315077" w:rsidRPr="00D75E5D" w14:paraId="401FAC03" w14:textId="77777777" w:rsidTr="00315077">
        <w:trPr>
          <w:trHeight w:val="300"/>
        </w:trPr>
        <w:tc>
          <w:tcPr>
            <w:tcW w:w="2003" w:type="pct"/>
            <w:tcBorders>
              <w:top w:val="nil"/>
              <w:left w:val="nil"/>
              <w:bottom w:val="nil"/>
              <w:right w:val="nil"/>
            </w:tcBorders>
            <w:shd w:val="clear" w:color="auto" w:fill="auto"/>
            <w:noWrap/>
            <w:vAlign w:val="bottom"/>
            <w:hideMark/>
          </w:tcPr>
          <w:p w14:paraId="32199727" w14:textId="77777777" w:rsidR="00315077" w:rsidRPr="00971912" w:rsidRDefault="00315077" w:rsidP="00315077">
            <w:pPr>
              <w:rPr>
                <w:color w:val="000000"/>
                <w:sz w:val="20"/>
                <w:szCs w:val="20"/>
              </w:rPr>
            </w:pPr>
            <w:r w:rsidRPr="00971912">
              <w:rPr>
                <w:color w:val="000000"/>
                <w:sz w:val="20"/>
                <w:szCs w:val="20"/>
              </w:rPr>
              <w:t>China United Network Communications Group Co., Ltd.</w:t>
            </w:r>
          </w:p>
        </w:tc>
        <w:tc>
          <w:tcPr>
            <w:tcW w:w="1455" w:type="pct"/>
            <w:tcBorders>
              <w:top w:val="nil"/>
              <w:left w:val="nil"/>
              <w:bottom w:val="nil"/>
              <w:right w:val="nil"/>
            </w:tcBorders>
            <w:vAlign w:val="bottom"/>
          </w:tcPr>
          <w:p w14:paraId="1AC87808" w14:textId="77777777" w:rsidR="00315077" w:rsidRPr="00971912" w:rsidRDefault="00315077" w:rsidP="00315077">
            <w:pPr>
              <w:rPr>
                <w:color w:val="000000"/>
                <w:sz w:val="20"/>
                <w:szCs w:val="20"/>
              </w:rPr>
            </w:pPr>
            <w:r w:rsidRPr="00971912">
              <w:rPr>
                <w:color w:val="000000"/>
                <w:sz w:val="20"/>
                <w:szCs w:val="20"/>
              </w:rPr>
              <w:t>Communication equipment</w:t>
            </w:r>
          </w:p>
        </w:tc>
        <w:tc>
          <w:tcPr>
            <w:tcW w:w="639" w:type="pct"/>
            <w:tcBorders>
              <w:top w:val="nil"/>
              <w:left w:val="nil"/>
              <w:bottom w:val="nil"/>
              <w:right w:val="nil"/>
            </w:tcBorders>
            <w:shd w:val="clear" w:color="auto" w:fill="auto"/>
            <w:noWrap/>
            <w:vAlign w:val="bottom"/>
            <w:hideMark/>
          </w:tcPr>
          <w:p w14:paraId="17B17B9D"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0EDFEC10" w14:textId="77777777" w:rsidR="00315077" w:rsidRPr="00971912" w:rsidRDefault="00315077" w:rsidP="00315077">
            <w:pPr>
              <w:jc w:val="right"/>
              <w:rPr>
                <w:color w:val="000000"/>
                <w:sz w:val="20"/>
                <w:szCs w:val="20"/>
              </w:rPr>
            </w:pPr>
            <w:r w:rsidRPr="00971912">
              <w:rPr>
                <w:color w:val="000000"/>
                <w:sz w:val="20"/>
                <w:szCs w:val="20"/>
              </w:rPr>
              <w:t>0.11</w:t>
            </w:r>
          </w:p>
        </w:tc>
        <w:tc>
          <w:tcPr>
            <w:tcW w:w="527" w:type="pct"/>
            <w:tcBorders>
              <w:top w:val="nil"/>
              <w:left w:val="nil"/>
              <w:bottom w:val="nil"/>
              <w:right w:val="nil"/>
            </w:tcBorders>
            <w:shd w:val="clear" w:color="auto" w:fill="auto"/>
            <w:noWrap/>
            <w:vAlign w:val="bottom"/>
            <w:hideMark/>
          </w:tcPr>
          <w:p w14:paraId="3F6FD3DD" w14:textId="77777777" w:rsidR="00315077" w:rsidRPr="00971912" w:rsidRDefault="00315077" w:rsidP="00315077">
            <w:pPr>
              <w:jc w:val="right"/>
              <w:rPr>
                <w:color w:val="000000"/>
                <w:sz w:val="20"/>
                <w:szCs w:val="20"/>
              </w:rPr>
            </w:pPr>
            <w:r w:rsidRPr="00971912">
              <w:rPr>
                <w:color w:val="000000"/>
                <w:sz w:val="20"/>
                <w:szCs w:val="20"/>
              </w:rPr>
              <w:t>-0.0367</w:t>
            </w:r>
          </w:p>
        </w:tc>
      </w:tr>
      <w:tr w:rsidR="00315077" w:rsidRPr="00D75E5D" w14:paraId="7DC4ACEF" w14:textId="77777777" w:rsidTr="00315077">
        <w:trPr>
          <w:trHeight w:val="300"/>
        </w:trPr>
        <w:tc>
          <w:tcPr>
            <w:tcW w:w="2003" w:type="pct"/>
            <w:tcBorders>
              <w:top w:val="nil"/>
              <w:left w:val="nil"/>
              <w:bottom w:val="nil"/>
              <w:right w:val="nil"/>
            </w:tcBorders>
            <w:shd w:val="clear" w:color="auto" w:fill="auto"/>
            <w:noWrap/>
            <w:vAlign w:val="bottom"/>
            <w:hideMark/>
          </w:tcPr>
          <w:p w14:paraId="1A16CA0E" w14:textId="77777777" w:rsidR="00315077" w:rsidRPr="00971912" w:rsidRDefault="00315077" w:rsidP="00315077">
            <w:pPr>
              <w:rPr>
                <w:color w:val="000000"/>
                <w:sz w:val="20"/>
                <w:szCs w:val="20"/>
              </w:rPr>
            </w:pPr>
            <w:r w:rsidRPr="00971912">
              <w:rPr>
                <w:color w:val="000000"/>
                <w:sz w:val="20"/>
                <w:szCs w:val="20"/>
              </w:rPr>
              <w:t>China Electronics Information Industry Group Co. Ltd.</w:t>
            </w:r>
          </w:p>
        </w:tc>
        <w:tc>
          <w:tcPr>
            <w:tcW w:w="1455" w:type="pct"/>
            <w:tcBorders>
              <w:top w:val="nil"/>
              <w:left w:val="nil"/>
              <w:bottom w:val="nil"/>
              <w:right w:val="nil"/>
            </w:tcBorders>
            <w:vAlign w:val="bottom"/>
          </w:tcPr>
          <w:p w14:paraId="77524231" w14:textId="77777777" w:rsidR="00315077" w:rsidRPr="00971912" w:rsidRDefault="00315077" w:rsidP="00315077">
            <w:pPr>
              <w:rPr>
                <w:color w:val="000000"/>
                <w:sz w:val="20"/>
                <w:szCs w:val="20"/>
              </w:rPr>
            </w:pPr>
            <w:r w:rsidRPr="00971912">
              <w:rPr>
                <w:color w:val="000000"/>
                <w:sz w:val="20"/>
                <w:szCs w:val="20"/>
              </w:rPr>
              <w:t>Electronic Manufacturing Service</w:t>
            </w:r>
          </w:p>
        </w:tc>
        <w:tc>
          <w:tcPr>
            <w:tcW w:w="639" w:type="pct"/>
            <w:tcBorders>
              <w:top w:val="nil"/>
              <w:left w:val="nil"/>
              <w:bottom w:val="nil"/>
              <w:right w:val="nil"/>
            </w:tcBorders>
            <w:shd w:val="clear" w:color="auto" w:fill="auto"/>
            <w:noWrap/>
            <w:vAlign w:val="bottom"/>
            <w:hideMark/>
          </w:tcPr>
          <w:p w14:paraId="29C23A1A"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1B3BCB4B" w14:textId="77777777" w:rsidR="00315077" w:rsidRPr="00971912" w:rsidRDefault="00315077" w:rsidP="00315077">
            <w:pPr>
              <w:jc w:val="right"/>
              <w:rPr>
                <w:color w:val="000000"/>
                <w:sz w:val="20"/>
                <w:szCs w:val="20"/>
              </w:rPr>
            </w:pPr>
            <w:r w:rsidRPr="00971912">
              <w:rPr>
                <w:color w:val="000000"/>
                <w:sz w:val="20"/>
                <w:szCs w:val="20"/>
              </w:rPr>
              <w:t>0.25</w:t>
            </w:r>
          </w:p>
        </w:tc>
        <w:tc>
          <w:tcPr>
            <w:tcW w:w="527" w:type="pct"/>
            <w:tcBorders>
              <w:top w:val="nil"/>
              <w:left w:val="nil"/>
              <w:bottom w:val="nil"/>
              <w:right w:val="nil"/>
            </w:tcBorders>
            <w:shd w:val="clear" w:color="auto" w:fill="auto"/>
            <w:noWrap/>
            <w:vAlign w:val="bottom"/>
            <w:hideMark/>
          </w:tcPr>
          <w:p w14:paraId="5FF2B989" w14:textId="77777777" w:rsidR="00315077" w:rsidRPr="00971912" w:rsidRDefault="00315077" w:rsidP="00315077">
            <w:pPr>
              <w:jc w:val="right"/>
              <w:rPr>
                <w:color w:val="000000"/>
                <w:sz w:val="20"/>
                <w:szCs w:val="20"/>
              </w:rPr>
            </w:pPr>
            <w:r w:rsidRPr="00971912">
              <w:rPr>
                <w:color w:val="000000"/>
                <w:sz w:val="20"/>
                <w:szCs w:val="20"/>
              </w:rPr>
              <w:t>0.0726</w:t>
            </w:r>
          </w:p>
        </w:tc>
      </w:tr>
      <w:tr w:rsidR="00315077" w:rsidRPr="00D75E5D" w14:paraId="089DB7E7" w14:textId="77777777" w:rsidTr="00315077">
        <w:trPr>
          <w:trHeight w:val="300"/>
        </w:trPr>
        <w:tc>
          <w:tcPr>
            <w:tcW w:w="2003" w:type="pct"/>
            <w:tcBorders>
              <w:top w:val="nil"/>
              <w:left w:val="nil"/>
              <w:bottom w:val="nil"/>
              <w:right w:val="nil"/>
            </w:tcBorders>
            <w:shd w:val="clear" w:color="auto" w:fill="auto"/>
            <w:noWrap/>
            <w:vAlign w:val="bottom"/>
            <w:hideMark/>
          </w:tcPr>
          <w:p w14:paraId="7D2B49CD" w14:textId="77777777" w:rsidR="00315077" w:rsidRPr="00971912" w:rsidRDefault="00315077" w:rsidP="00315077">
            <w:pPr>
              <w:rPr>
                <w:color w:val="000000"/>
                <w:sz w:val="20"/>
                <w:szCs w:val="20"/>
              </w:rPr>
            </w:pPr>
            <w:r w:rsidRPr="00971912">
              <w:rPr>
                <w:color w:val="000000"/>
                <w:sz w:val="20"/>
                <w:szCs w:val="20"/>
              </w:rPr>
              <w:t>China FAW Corporation</w:t>
            </w:r>
          </w:p>
        </w:tc>
        <w:tc>
          <w:tcPr>
            <w:tcW w:w="1455" w:type="pct"/>
            <w:tcBorders>
              <w:top w:val="nil"/>
              <w:left w:val="nil"/>
              <w:bottom w:val="nil"/>
              <w:right w:val="nil"/>
            </w:tcBorders>
            <w:vAlign w:val="bottom"/>
          </w:tcPr>
          <w:p w14:paraId="00BB3CC8" w14:textId="77777777" w:rsidR="00315077" w:rsidRPr="00971912" w:rsidRDefault="00315077" w:rsidP="00315077">
            <w:pPr>
              <w:rPr>
                <w:color w:val="000000"/>
                <w:sz w:val="20"/>
                <w:szCs w:val="20"/>
              </w:rPr>
            </w:pPr>
            <w:r w:rsidRPr="00971912">
              <w:rPr>
                <w:color w:val="000000"/>
                <w:sz w:val="20"/>
                <w:szCs w:val="20"/>
              </w:rPr>
              <w:t>Automobile Manufacturing</w:t>
            </w:r>
          </w:p>
        </w:tc>
        <w:tc>
          <w:tcPr>
            <w:tcW w:w="639" w:type="pct"/>
            <w:tcBorders>
              <w:top w:val="nil"/>
              <w:left w:val="nil"/>
              <w:bottom w:val="nil"/>
              <w:right w:val="nil"/>
            </w:tcBorders>
            <w:shd w:val="clear" w:color="auto" w:fill="auto"/>
            <w:noWrap/>
            <w:vAlign w:val="bottom"/>
            <w:hideMark/>
          </w:tcPr>
          <w:p w14:paraId="2A176926"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5F299BE3" w14:textId="77777777" w:rsidR="00315077" w:rsidRPr="00971912" w:rsidRDefault="00315077" w:rsidP="00315077">
            <w:pPr>
              <w:jc w:val="right"/>
              <w:rPr>
                <w:color w:val="000000"/>
                <w:sz w:val="20"/>
                <w:szCs w:val="20"/>
              </w:rPr>
            </w:pPr>
            <w:r w:rsidRPr="00971912">
              <w:rPr>
                <w:color w:val="000000"/>
                <w:sz w:val="20"/>
                <w:szCs w:val="20"/>
              </w:rPr>
              <w:t>0.37</w:t>
            </w:r>
          </w:p>
        </w:tc>
        <w:tc>
          <w:tcPr>
            <w:tcW w:w="527" w:type="pct"/>
            <w:tcBorders>
              <w:top w:val="nil"/>
              <w:left w:val="nil"/>
              <w:bottom w:val="nil"/>
              <w:right w:val="nil"/>
            </w:tcBorders>
            <w:shd w:val="clear" w:color="auto" w:fill="auto"/>
            <w:noWrap/>
            <w:vAlign w:val="bottom"/>
            <w:hideMark/>
          </w:tcPr>
          <w:p w14:paraId="5A4E4AF0" w14:textId="77777777" w:rsidR="00315077" w:rsidRPr="00971912" w:rsidRDefault="00315077" w:rsidP="00315077">
            <w:pPr>
              <w:jc w:val="right"/>
              <w:rPr>
                <w:color w:val="000000"/>
                <w:sz w:val="20"/>
                <w:szCs w:val="20"/>
              </w:rPr>
            </w:pPr>
            <w:r w:rsidRPr="00971912">
              <w:rPr>
                <w:color w:val="000000"/>
                <w:sz w:val="20"/>
                <w:szCs w:val="20"/>
              </w:rPr>
              <w:t>-0.0111</w:t>
            </w:r>
          </w:p>
        </w:tc>
      </w:tr>
      <w:tr w:rsidR="00315077" w:rsidRPr="00D75E5D" w14:paraId="7B96FDF7" w14:textId="77777777" w:rsidTr="00315077">
        <w:trPr>
          <w:trHeight w:val="300"/>
        </w:trPr>
        <w:tc>
          <w:tcPr>
            <w:tcW w:w="2003" w:type="pct"/>
            <w:tcBorders>
              <w:top w:val="nil"/>
              <w:left w:val="nil"/>
              <w:bottom w:val="nil"/>
              <w:right w:val="nil"/>
            </w:tcBorders>
            <w:shd w:val="clear" w:color="auto" w:fill="auto"/>
            <w:noWrap/>
            <w:vAlign w:val="bottom"/>
            <w:hideMark/>
          </w:tcPr>
          <w:p w14:paraId="25A4BCD0" w14:textId="77777777" w:rsidR="00315077" w:rsidRPr="00971912" w:rsidRDefault="00315077" w:rsidP="00315077">
            <w:pPr>
              <w:rPr>
                <w:color w:val="000000"/>
                <w:sz w:val="20"/>
                <w:szCs w:val="20"/>
              </w:rPr>
            </w:pPr>
            <w:r w:rsidRPr="00971912">
              <w:rPr>
                <w:color w:val="000000"/>
                <w:sz w:val="20"/>
                <w:szCs w:val="20"/>
              </w:rPr>
              <w:t>Dongfeng Motor Company</w:t>
            </w:r>
          </w:p>
        </w:tc>
        <w:tc>
          <w:tcPr>
            <w:tcW w:w="1455" w:type="pct"/>
            <w:tcBorders>
              <w:top w:val="nil"/>
              <w:left w:val="nil"/>
              <w:bottom w:val="nil"/>
              <w:right w:val="nil"/>
            </w:tcBorders>
            <w:vAlign w:val="bottom"/>
          </w:tcPr>
          <w:p w14:paraId="3BEC2B43" w14:textId="77777777" w:rsidR="00315077" w:rsidRPr="00971912" w:rsidRDefault="00315077" w:rsidP="00315077">
            <w:pPr>
              <w:rPr>
                <w:color w:val="000000"/>
                <w:sz w:val="20"/>
                <w:szCs w:val="20"/>
              </w:rPr>
            </w:pPr>
            <w:r w:rsidRPr="00971912">
              <w:rPr>
                <w:color w:val="000000"/>
                <w:sz w:val="20"/>
                <w:szCs w:val="20"/>
              </w:rPr>
              <w:t>Automobile Manufacturing</w:t>
            </w:r>
          </w:p>
        </w:tc>
        <w:tc>
          <w:tcPr>
            <w:tcW w:w="639" w:type="pct"/>
            <w:tcBorders>
              <w:top w:val="nil"/>
              <w:left w:val="nil"/>
              <w:bottom w:val="nil"/>
              <w:right w:val="nil"/>
            </w:tcBorders>
            <w:shd w:val="clear" w:color="auto" w:fill="auto"/>
            <w:noWrap/>
            <w:vAlign w:val="bottom"/>
            <w:hideMark/>
          </w:tcPr>
          <w:p w14:paraId="6E448FEA"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5751F765" w14:textId="77777777" w:rsidR="00315077" w:rsidRPr="00971912" w:rsidRDefault="00315077" w:rsidP="00315077">
            <w:pPr>
              <w:jc w:val="right"/>
              <w:rPr>
                <w:color w:val="000000"/>
                <w:sz w:val="20"/>
                <w:szCs w:val="20"/>
              </w:rPr>
            </w:pPr>
            <w:r w:rsidRPr="00971912">
              <w:rPr>
                <w:color w:val="000000"/>
                <w:sz w:val="20"/>
                <w:szCs w:val="20"/>
              </w:rPr>
              <w:t>0.32</w:t>
            </w:r>
          </w:p>
        </w:tc>
        <w:tc>
          <w:tcPr>
            <w:tcW w:w="527" w:type="pct"/>
            <w:tcBorders>
              <w:top w:val="nil"/>
              <w:left w:val="nil"/>
              <w:bottom w:val="nil"/>
              <w:right w:val="nil"/>
            </w:tcBorders>
            <w:shd w:val="clear" w:color="auto" w:fill="auto"/>
            <w:noWrap/>
            <w:vAlign w:val="bottom"/>
            <w:hideMark/>
          </w:tcPr>
          <w:p w14:paraId="7E8CD366" w14:textId="77777777" w:rsidR="00315077" w:rsidRPr="00971912" w:rsidRDefault="00315077" w:rsidP="00315077">
            <w:pPr>
              <w:jc w:val="right"/>
              <w:rPr>
                <w:color w:val="000000"/>
                <w:sz w:val="20"/>
                <w:szCs w:val="20"/>
              </w:rPr>
            </w:pPr>
            <w:r w:rsidRPr="00971912">
              <w:rPr>
                <w:color w:val="000000"/>
                <w:sz w:val="20"/>
                <w:szCs w:val="20"/>
              </w:rPr>
              <w:t>-0.0840</w:t>
            </w:r>
          </w:p>
        </w:tc>
      </w:tr>
      <w:tr w:rsidR="00315077" w:rsidRPr="00D75E5D" w14:paraId="5E52EF24" w14:textId="77777777" w:rsidTr="00315077">
        <w:trPr>
          <w:trHeight w:val="300"/>
        </w:trPr>
        <w:tc>
          <w:tcPr>
            <w:tcW w:w="2003" w:type="pct"/>
            <w:tcBorders>
              <w:top w:val="nil"/>
              <w:left w:val="nil"/>
              <w:bottom w:val="nil"/>
              <w:right w:val="nil"/>
            </w:tcBorders>
            <w:shd w:val="clear" w:color="auto" w:fill="auto"/>
            <w:noWrap/>
            <w:vAlign w:val="bottom"/>
            <w:hideMark/>
          </w:tcPr>
          <w:p w14:paraId="6A99EE21" w14:textId="77777777" w:rsidR="00315077" w:rsidRPr="00971912" w:rsidRDefault="00315077" w:rsidP="00315077">
            <w:pPr>
              <w:rPr>
                <w:color w:val="000000"/>
                <w:sz w:val="20"/>
                <w:szCs w:val="20"/>
              </w:rPr>
            </w:pPr>
            <w:r w:rsidRPr="00971912">
              <w:rPr>
                <w:color w:val="000000"/>
                <w:sz w:val="20"/>
                <w:szCs w:val="20"/>
              </w:rPr>
              <w:lastRenderedPageBreak/>
              <w:t>China First Heavy Machinery Group Corporation</w:t>
            </w:r>
          </w:p>
        </w:tc>
        <w:tc>
          <w:tcPr>
            <w:tcW w:w="1455" w:type="pct"/>
            <w:tcBorders>
              <w:top w:val="nil"/>
              <w:left w:val="nil"/>
              <w:bottom w:val="nil"/>
              <w:right w:val="nil"/>
            </w:tcBorders>
            <w:vAlign w:val="bottom"/>
          </w:tcPr>
          <w:p w14:paraId="2E515C81" w14:textId="77777777" w:rsidR="00315077" w:rsidRPr="00971912" w:rsidRDefault="00315077" w:rsidP="00315077">
            <w:pPr>
              <w:rPr>
                <w:color w:val="000000"/>
                <w:sz w:val="20"/>
                <w:szCs w:val="20"/>
              </w:rPr>
            </w:pPr>
            <w:r w:rsidRPr="00971912">
              <w:rPr>
                <w:color w:val="000000"/>
                <w:sz w:val="20"/>
                <w:szCs w:val="20"/>
              </w:rPr>
              <w:t>Industrial Machinery</w:t>
            </w:r>
          </w:p>
        </w:tc>
        <w:tc>
          <w:tcPr>
            <w:tcW w:w="639" w:type="pct"/>
            <w:tcBorders>
              <w:top w:val="nil"/>
              <w:left w:val="nil"/>
              <w:bottom w:val="nil"/>
              <w:right w:val="nil"/>
            </w:tcBorders>
            <w:shd w:val="clear" w:color="auto" w:fill="auto"/>
            <w:noWrap/>
            <w:vAlign w:val="bottom"/>
            <w:hideMark/>
          </w:tcPr>
          <w:p w14:paraId="025685A7" w14:textId="77777777" w:rsidR="00315077" w:rsidRPr="00971912" w:rsidRDefault="00315077" w:rsidP="00315077">
            <w:pPr>
              <w:rPr>
                <w:color w:val="000000"/>
                <w:sz w:val="20"/>
                <w:szCs w:val="20"/>
              </w:rPr>
            </w:pPr>
            <w:r w:rsidRPr="00971912">
              <w:rPr>
                <w:color w:val="000000"/>
                <w:sz w:val="20"/>
                <w:szCs w:val="20"/>
              </w:rPr>
              <w:t>2004-2017</w:t>
            </w:r>
          </w:p>
        </w:tc>
        <w:tc>
          <w:tcPr>
            <w:tcW w:w="376" w:type="pct"/>
            <w:tcBorders>
              <w:top w:val="nil"/>
              <w:left w:val="nil"/>
              <w:bottom w:val="nil"/>
              <w:right w:val="nil"/>
            </w:tcBorders>
            <w:shd w:val="clear" w:color="auto" w:fill="auto"/>
            <w:noWrap/>
            <w:vAlign w:val="bottom"/>
            <w:hideMark/>
          </w:tcPr>
          <w:p w14:paraId="4C520167" w14:textId="77777777" w:rsidR="00315077" w:rsidRPr="00971912" w:rsidRDefault="00315077" w:rsidP="00315077">
            <w:pPr>
              <w:jc w:val="right"/>
              <w:rPr>
                <w:color w:val="000000"/>
                <w:sz w:val="20"/>
                <w:szCs w:val="20"/>
              </w:rPr>
            </w:pPr>
            <w:r w:rsidRPr="00971912">
              <w:rPr>
                <w:color w:val="000000"/>
                <w:sz w:val="20"/>
                <w:szCs w:val="20"/>
              </w:rPr>
              <w:t>0.00</w:t>
            </w:r>
          </w:p>
        </w:tc>
        <w:tc>
          <w:tcPr>
            <w:tcW w:w="527" w:type="pct"/>
            <w:tcBorders>
              <w:top w:val="nil"/>
              <w:left w:val="nil"/>
              <w:bottom w:val="nil"/>
              <w:right w:val="nil"/>
            </w:tcBorders>
            <w:shd w:val="clear" w:color="auto" w:fill="auto"/>
            <w:noWrap/>
            <w:vAlign w:val="bottom"/>
            <w:hideMark/>
          </w:tcPr>
          <w:p w14:paraId="010CACEF" w14:textId="77777777" w:rsidR="00315077" w:rsidRPr="00971912" w:rsidRDefault="00315077" w:rsidP="00315077">
            <w:pPr>
              <w:jc w:val="right"/>
              <w:rPr>
                <w:color w:val="000000"/>
                <w:sz w:val="20"/>
                <w:szCs w:val="20"/>
              </w:rPr>
            </w:pPr>
            <w:r w:rsidRPr="00971912">
              <w:rPr>
                <w:color w:val="000000"/>
                <w:sz w:val="20"/>
                <w:szCs w:val="20"/>
              </w:rPr>
              <w:t>0.0003</w:t>
            </w:r>
          </w:p>
        </w:tc>
      </w:tr>
      <w:tr w:rsidR="00315077" w:rsidRPr="00D75E5D" w14:paraId="32C153B9" w14:textId="77777777" w:rsidTr="00315077">
        <w:trPr>
          <w:trHeight w:val="300"/>
        </w:trPr>
        <w:tc>
          <w:tcPr>
            <w:tcW w:w="2003" w:type="pct"/>
            <w:tcBorders>
              <w:top w:val="nil"/>
              <w:left w:val="nil"/>
              <w:bottom w:val="nil"/>
              <w:right w:val="nil"/>
            </w:tcBorders>
            <w:shd w:val="clear" w:color="auto" w:fill="auto"/>
            <w:noWrap/>
            <w:vAlign w:val="bottom"/>
            <w:hideMark/>
          </w:tcPr>
          <w:p w14:paraId="2EAD1943" w14:textId="77777777" w:rsidR="00315077" w:rsidRPr="00971912" w:rsidRDefault="00315077" w:rsidP="00315077">
            <w:pPr>
              <w:rPr>
                <w:color w:val="000000"/>
                <w:sz w:val="20"/>
                <w:szCs w:val="20"/>
              </w:rPr>
            </w:pPr>
            <w:r w:rsidRPr="00971912">
              <w:rPr>
                <w:color w:val="000000"/>
                <w:sz w:val="20"/>
                <w:szCs w:val="20"/>
              </w:rPr>
              <w:t>Harbin Electric Group Company</w:t>
            </w:r>
          </w:p>
        </w:tc>
        <w:tc>
          <w:tcPr>
            <w:tcW w:w="1455" w:type="pct"/>
            <w:tcBorders>
              <w:top w:val="nil"/>
              <w:left w:val="nil"/>
              <w:bottom w:val="nil"/>
              <w:right w:val="nil"/>
            </w:tcBorders>
            <w:vAlign w:val="bottom"/>
          </w:tcPr>
          <w:p w14:paraId="41AEF4D5" w14:textId="77777777" w:rsidR="00315077" w:rsidRPr="00971912" w:rsidRDefault="00315077" w:rsidP="00315077">
            <w:pPr>
              <w:rPr>
                <w:color w:val="000000"/>
                <w:sz w:val="20"/>
                <w:szCs w:val="20"/>
              </w:rPr>
            </w:pPr>
            <w:r w:rsidRPr="00971912">
              <w:rPr>
                <w:color w:val="000000"/>
                <w:sz w:val="20"/>
                <w:szCs w:val="20"/>
              </w:rPr>
              <w:t>Heavy electrical equipment</w:t>
            </w:r>
          </w:p>
        </w:tc>
        <w:tc>
          <w:tcPr>
            <w:tcW w:w="639" w:type="pct"/>
            <w:tcBorders>
              <w:top w:val="nil"/>
              <w:left w:val="nil"/>
              <w:bottom w:val="nil"/>
              <w:right w:val="nil"/>
            </w:tcBorders>
            <w:shd w:val="clear" w:color="auto" w:fill="auto"/>
            <w:noWrap/>
            <w:vAlign w:val="bottom"/>
            <w:hideMark/>
          </w:tcPr>
          <w:p w14:paraId="6FF372E2"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698B2A55" w14:textId="77777777" w:rsidR="00315077" w:rsidRPr="00971912" w:rsidRDefault="00315077" w:rsidP="00315077">
            <w:pPr>
              <w:jc w:val="right"/>
              <w:rPr>
                <w:color w:val="000000"/>
                <w:sz w:val="20"/>
                <w:szCs w:val="20"/>
              </w:rPr>
            </w:pPr>
            <w:r w:rsidRPr="00971912">
              <w:rPr>
                <w:color w:val="000000"/>
                <w:sz w:val="20"/>
                <w:szCs w:val="20"/>
              </w:rPr>
              <w:t>-0.44</w:t>
            </w:r>
          </w:p>
        </w:tc>
        <w:tc>
          <w:tcPr>
            <w:tcW w:w="527" w:type="pct"/>
            <w:tcBorders>
              <w:top w:val="nil"/>
              <w:left w:val="nil"/>
              <w:bottom w:val="nil"/>
              <w:right w:val="nil"/>
            </w:tcBorders>
            <w:shd w:val="clear" w:color="auto" w:fill="auto"/>
            <w:noWrap/>
            <w:vAlign w:val="bottom"/>
            <w:hideMark/>
          </w:tcPr>
          <w:p w14:paraId="1AE3DDD1" w14:textId="77777777" w:rsidR="00315077" w:rsidRPr="00971912" w:rsidRDefault="00315077" w:rsidP="00315077">
            <w:pPr>
              <w:jc w:val="right"/>
              <w:rPr>
                <w:color w:val="000000"/>
                <w:sz w:val="20"/>
                <w:szCs w:val="20"/>
              </w:rPr>
            </w:pPr>
            <w:r w:rsidRPr="00971912">
              <w:rPr>
                <w:color w:val="000000"/>
                <w:sz w:val="20"/>
                <w:szCs w:val="20"/>
              </w:rPr>
              <w:t>0.0806</w:t>
            </w:r>
          </w:p>
        </w:tc>
      </w:tr>
      <w:tr w:rsidR="00315077" w:rsidRPr="00D75E5D" w14:paraId="10F2152A" w14:textId="77777777" w:rsidTr="00315077">
        <w:trPr>
          <w:trHeight w:val="300"/>
        </w:trPr>
        <w:tc>
          <w:tcPr>
            <w:tcW w:w="2003" w:type="pct"/>
            <w:tcBorders>
              <w:top w:val="nil"/>
              <w:left w:val="nil"/>
              <w:bottom w:val="nil"/>
              <w:right w:val="nil"/>
            </w:tcBorders>
            <w:shd w:val="clear" w:color="auto" w:fill="auto"/>
            <w:noWrap/>
            <w:vAlign w:val="bottom"/>
            <w:hideMark/>
          </w:tcPr>
          <w:p w14:paraId="3DB5ADE8" w14:textId="77777777" w:rsidR="00315077" w:rsidRPr="00971912" w:rsidRDefault="00315077" w:rsidP="00315077">
            <w:pPr>
              <w:rPr>
                <w:color w:val="000000"/>
                <w:sz w:val="20"/>
                <w:szCs w:val="20"/>
              </w:rPr>
            </w:pPr>
            <w:r w:rsidRPr="00971912">
              <w:rPr>
                <w:color w:val="000000"/>
                <w:sz w:val="20"/>
                <w:szCs w:val="20"/>
              </w:rPr>
              <w:t xml:space="preserve">China </w:t>
            </w:r>
            <w:proofErr w:type="spellStart"/>
            <w:r w:rsidRPr="00971912">
              <w:rPr>
                <w:color w:val="000000"/>
                <w:sz w:val="20"/>
                <w:szCs w:val="20"/>
              </w:rPr>
              <w:t>Dongfang</w:t>
            </w:r>
            <w:proofErr w:type="spellEnd"/>
            <w:r w:rsidRPr="00971912">
              <w:rPr>
                <w:color w:val="000000"/>
                <w:sz w:val="20"/>
                <w:szCs w:val="20"/>
              </w:rPr>
              <w:t xml:space="preserve"> Electric Group Co. Ltd.</w:t>
            </w:r>
          </w:p>
        </w:tc>
        <w:tc>
          <w:tcPr>
            <w:tcW w:w="1455" w:type="pct"/>
            <w:tcBorders>
              <w:top w:val="nil"/>
              <w:left w:val="nil"/>
              <w:bottom w:val="nil"/>
              <w:right w:val="nil"/>
            </w:tcBorders>
            <w:vAlign w:val="bottom"/>
          </w:tcPr>
          <w:p w14:paraId="7DDD84FB" w14:textId="77777777" w:rsidR="00315077" w:rsidRPr="00971912" w:rsidRDefault="00315077" w:rsidP="00315077">
            <w:pPr>
              <w:rPr>
                <w:color w:val="000000"/>
                <w:sz w:val="20"/>
                <w:szCs w:val="20"/>
              </w:rPr>
            </w:pPr>
            <w:r w:rsidRPr="00971912">
              <w:rPr>
                <w:color w:val="000000"/>
                <w:sz w:val="20"/>
                <w:szCs w:val="20"/>
              </w:rPr>
              <w:t>Heavy electrical equipment</w:t>
            </w:r>
          </w:p>
        </w:tc>
        <w:tc>
          <w:tcPr>
            <w:tcW w:w="639" w:type="pct"/>
            <w:tcBorders>
              <w:top w:val="nil"/>
              <w:left w:val="nil"/>
              <w:bottom w:val="nil"/>
              <w:right w:val="nil"/>
            </w:tcBorders>
            <w:shd w:val="clear" w:color="auto" w:fill="auto"/>
            <w:noWrap/>
            <w:vAlign w:val="bottom"/>
            <w:hideMark/>
          </w:tcPr>
          <w:p w14:paraId="36437A02"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55AC7D0F" w14:textId="77777777" w:rsidR="00315077" w:rsidRPr="00971912" w:rsidRDefault="00315077" w:rsidP="00315077">
            <w:pPr>
              <w:jc w:val="right"/>
              <w:rPr>
                <w:color w:val="000000"/>
                <w:sz w:val="20"/>
                <w:szCs w:val="20"/>
              </w:rPr>
            </w:pPr>
            <w:r w:rsidRPr="00971912">
              <w:rPr>
                <w:color w:val="000000"/>
                <w:sz w:val="20"/>
                <w:szCs w:val="20"/>
              </w:rPr>
              <w:t>0.27</w:t>
            </w:r>
          </w:p>
        </w:tc>
        <w:tc>
          <w:tcPr>
            <w:tcW w:w="527" w:type="pct"/>
            <w:tcBorders>
              <w:top w:val="nil"/>
              <w:left w:val="nil"/>
              <w:bottom w:val="nil"/>
              <w:right w:val="nil"/>
            </w:tcBorders>
            <w:shd w:val="clear" w:color="auto" w:fill="auto"/>
            <w:noWrap/>
            <w:vAlign w:val="bottom"/>
            <w:hideMark/>
          </w:tcPr>
          <w:p w14:paraId="55469C96" w14:textId="77777777" w:rsidR="00315077" w:rsidRPr="00971912" w:rsidRDefault="00315077" w:rsidP="00315077">
            <w:pPr>
              <w:jc w:val="right"/>
              <w:rPr>
                <w:color w:val="000000"/>
                <w:sz w:val="20"/>
                <w:szCs w:val="20"/>
              </w:rPr>
            </w:pPr>
            <w:r w:rsidRPr="00971912">
              <w:rPr>
                <w:color w:val="000000"/>
                <w:sz w:val="20"/>
                <w:szCs w:val="20"/>
              </w:rPr>
              <w:t>0.0123</w:t>
            </w:r>
          </w:p>
        </w:tc>
      </w:tr>
      <w:tr w:rsidR="00315077" w:rsidRPr="00D75E5D" w14:paraId="60F89F44" w14:textId="77777777" w:rsidTr="00315077">
        <w:trPr>
          <w:trHeight w:val="300"/>
        </w:trPr>
        <w:tc>
          <w:tcPr>
            <w:tcW w:w="2003" w:type="pct"/>
            <w:tcBorders>
              <w:top w:val="nil"/>
              <w:left w:val="nil"/>
              <w:bottom w:val="nil"/>
              <w:right w:val="nil"/>
            </w:tcBorders>
            <w:shd w:val="clear" w:color="auto" w:fill="auto"/>
            <w:noWrap/>
            <w:vAlign w:val="bottom"/>
            <w:hideMark/>
          </w:tcPr>
          <w:p w14:paraId="3222AA99" w14:textId="77777777" w:rsidR="00315077" w:rsidRPr="00971912" w:rsidRDefault="00315077" w:rsidP="00315077">
            <w:pPr>
              <w:rPr>
                <w:color w:val="000000"/>
                <w:sz w:val="20"/>
                <w:szCs w:val="20"/>
              </w:rPr>
            </w:pPr>
            <w:r w:rsidRPr="00971912">
              <w:rPr>
                <w:color w:val="000000"/>
                <w:sz w:val="20"/>
                <w:szCs w:val="20"/>
              </w:rPr>
              <w:t>Anshan Iron and Steel Group Company</w:t>
            </w:r>
          </w:p>
        </w:tc>
        <w:tc>
          <w:tcPr>
            <w:tcW w:w="1455" w:type="pct"/>
            <w:tcBorders>
              <w:top w:val="nil"/>
              <w:left w:val="nil"/>
              <w:bottom w:val="nil"/>
              <w:right w:val="nil"/>
            </w:tcBorders>
            <w:vAlign w:val="bottom"/>
          </w:tcPr>
          <w:p w14:paraId="76F78E37" w14:textId="77777777" w:rsidR="00315077" w:rsidRPr="00971912" w:rsidRDefault="00315077" w:rsidP="00315077">
            <w:pPr>
              <w:rPr>
                <w:color w:val="000000"/>
                <w:sz w:val="20"/>
                <w:szCs w:val="20"/>
              </w:rPr>
            </w:pPr>
            <w:r w:rsidRPr="00971912">
              <w:rPr>
                <w:color w:val="000000"/>
                <w:sz w:val="20"/>
                <w:szCs w:val="20"/>
              </w:rPr>
              <w:t>Steel</w:t>
            </w:r>
          </w:p>
        </w:tc>
        <w:tc>
          <w:tcPr>
            <w:tcW w:w="639" w:type="pct"/>
            <w:tcBorders>
              <w:top w:val="nil"/>
              <w:left w:val="nil"/>
              <w:bottom w:val="nil"/>
              <w:right w:val="nil"/>
            </w:tcBorders>
            <w:shd w:val="clear" w:color="auto" w:fill="auto"/>
            <w:noWrap/>
            <w:vAlign w:val="bottom"/>
            <w:hideMark/>
          </w:tcPr>
          <w:p w14:paraId="1217BDA2"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33D2A7D3" w14:textId="77777777" w:rsidR="00315077" w:rsidRPr="00971912" w:rsidRDefault="00315077" w:rsidP="00315077">
            <w:pPr>
              <w:jc w:val="right"/>
              <w:rPr>
                <w:color w:val="000000"/>
                <w:sz w:val="20"/>
                <w:szCs w:val="20"/>
              </w:rPr>
            </w:pPr>
            <w:r w:rsidRPr="00971912">
              <w:rPr>
                <w:color w:val="000000"/>
                <w:sz w:val="20"/>
                <w:szCs w:val="20"/>
              </w:rPr>
              <w:t>0.29</w:t>
            </w:r>
          </w:p>
        </w:tc>
        <w:tc>
          <w:tcPr>
            <w:tcW w:w="527" w:type="pct"/>
            <w:tcBorders>
              <w:top w:val="nil"/>
              <w:left w:val="nil"/>
              <w:bottom w:val="nil"/>
              <w:right w:val="nil"/>
            </w:tcBorders>
            <w:shd w:val="clear" w:color="auto" w:fill="auto"/>
            <w:noWrap/>
            <w:vAlign w:val="bottom"/>
            <w:hideMark/>
          </w:tcPr>
          <w:p w14:paraId="337D176E" w14:textId="77777777" w:rsidR="00315077" w:rsidRPr="00971912" w:rsidRDefault="00315077" w:rsidP="00315077">
            <w:pPr>
              <w:jc w:val="right"/>
              <w:rPr>
                <w:color w:val="000000"/>
                <w:sz w:val="20"/>
                <w:szCs w:val="20"/>
              </w:rPr>
            </w:pPr>
            <w:r w:rsidRPr="00971912">
              <w:rPr>
                <w:color w:val="000000"/>
                <w:sz w:val="20"/>
                <w:szCs w:val="20"/>
              </w:rPr>
              <w:t>0.0718</w:t>
            </w:r>
          </w:p>
        </w:tc>
      </w:tr>
      <w:tr w:rsidR="00315077" w:rsidRPr="00D75E5D" w14:paraId="694C381F" w14:textId="77777777" w:rsidTr="00315077">
        <w:trPr>
          <w:trHeight w:val="300"/>
        </w:trPr>
        <w:tc>
          <w:tcPr>
            <w:tcW w:w="2003" w:type="pct"/>
            <w:tcBorders>
              <w:top w:val="nil"/>
              <w:left w:val="nil"/>
              <w:bottom w:val="nil"/>
              <w:right w:val="nil"/>
            </w:tcBorders>
            <w:shd w:val="clear" w:color="auto" w:fill="auto"/>
            <w:noWrap/>
            <w:vAlign w:val="bottom"/>
            <w:hideMark/>
          </w:tcPr>
          <w:p w14:paraId="3D02D868" w14:textId="77777777" w:rsidR="00315077" w:rsidRPr="00971912" w:rsidRDefault="00315077" w:rsidP="00315077">
            <w:pPr>
              <w:rPr>
                <w:color w:val="000000"/>
                <w:sz w:val="20"/>
                <w:szCs w:val="20"/>
              </w:rPr>
            </w:pPr>
            <w:proofErr w:type="spellStart"/>
            <w:r w:rsidRPr="00971912">
              <w:rPr>
                <w:color w:val="000000"/>
                <w:sz w:val="20"/>
                <w:szCs w:val="20"/>
              </w:rPr>
              <w:t>Baosteel</w:t>
            </w:r>
            <w:proofErr w:type="spellEnd"/>
            <w:r w:rsidRPr="00971912">
              <w:rPr>
                <w:color w:val="000000"/>
                <w:sz w:val="20"/>
                <w:szCs w:val="20"/>
              </w:rPr>
              <w:t xml:space="preserve"> Group Co., Ltd.</w:t>
            </w:r>
          </w:p>
        </w:tc>
        <w:tc>
          <w:tcPr>
            <w:tcW w:w="1455" w:type="pct"/>
            <w:tcBorders>
              <w:top w:val="nil"/>
              <w:left w:val="nil"/>
              <w:bottom w:val="nil"/>
              <w:right w:val="nil"/>
            </w:tcBorders>
            <w:vAlign w:val="bottom"/>
          </w:tcPr>
          <w:p w14:paraId="3134EC6B" w14:textId="77777777" w:rsidR="00315077" w:rsidRPr="00971912" w:rsidRDefault="00315077" w:rsidP="00315077">
            <w:pPr>
              <w:rPr>
                <w:color w:val="000000"/>
                <w:sz w:val="20"/>
                <w:szCs w:val="20"/>
              </w:rPr>
            </w:pPr>
            <w:r w:rsidRPr="00971912">
              <w:rPr>
                <w:color w:val="000000"/>
                <w:sz w:val="20"/>
                <w:szCs w:val="20"/>
              </w:rPr>
              <w:t>Steel</w:t>
            </w:r>
          </w:p>
        </w:tc>
        <w:tc>
          <w:tcPr>
            <w:tcW w:w="639" w:type="pct"/>
            <w:tcBorders>
              <w:top w:val="nil"/>
              <w:left w:val="nil"/>
              <w:bottom w:val="nil"/>
              <w:right w:val="nil"/>
            </w:tcBorders>
            <w:shd w:val="clear" w:color="auto" w:fill="auto"/>
            <w:noWrap/>
            <w:vAlign w:val="bottom"/>
            <w:hideMark/>
          </w:tcPr>
          <w:p w14:paraId="565E8828" w14:textId="77777777" w:rsidR="00315077" w:rsidRPr="00971912" w:rsidRDefault="00315077" w:rsidP="00315077">
            <w:pPr>
              <w:rPr>
                <w:color w:val="000000"/>
                <w:sz w:val="20"/>
                <w:szCs w:val="20"/>
              </w:rPr>
            </w:pPr>
            <w:r w:rsidRPr="00971912">
              <w:rPr>
                <w:color w:val="000000"/>
                <w:sz w:val="20"/>
                <w:szCs w:val="20"/>
              </w:rPr>
              <w:t>2003-2016</w:t>
            </w:r>
          </w:p>
        </w:tc>
        <w:tc>
          <w:tcPr>
            <w:tcW w:w="376" w:type="pct"/>
            <w:tcBorders>
              <w:top w:val="nil"/>
              <w:left w:val="nil"/>
              <w:bottom w:val="nil"/>
              <w:right w:val="nil"/>
            </w:tcBorders>
            <w:shd w:val="clear" w:color="auto" w:fill="auto"/>
            <w:noWrap/>
            <w:vAlign w:val="bottom"/>
            <w:hideMark/>
          </w:tcPr>
          <w:p w14:paraId="039A44B8" w14:textId="77777777" w:rsidR="00315077" w:rsidRPr="00971912" w:rsidRDefault="00315077" w:rsidP="00315077">
            <w:pPr>
              <w:jc w:val="right"/>
              <w:rPr>
                <w:color w:val="000000"/>
                <w:sz w:val="20"/>
                <w:szCs w:val="20"/>
              </w:rPr>
            </w:pPr>
            <w:r w:rsidRPr="00971912">
              <w:rPr>
                <w:color w:val="000000"/>
                <w:sz w:val="20"/>
                <w:szCs w:val="20"/>
              </w:rPr>
              <w:t>0.56</w:t>
            </w:r>
          </w:p>
        </w:tc>
        <w:tc>
          <w:tcPr>
            <w:tcW w:w="527" w:type="pct"/>
            <w:tcBorders>
              <w:top w:val="nil"/>
              <w:left w:val="nil"/>
              <w:bottom w:val="nil"/>
              <w:right w:val="nil"/>
            </w:tcBorders>
            <w:shd w:val="clear" w:color="auto" w:fill="auto"/>
            <w:noWrap/>
            <w:vAlign w:val="bottom"/>
            <w:hideMark/>
          </w:tcPr>
          <w:p w14:paraId="504B06AF" w14:textId="77777777" w:rsidR="00315077" w:rsidRPr="00971912" w:rsidRDefault="00315077" w:rsidP="00315077">
            <w:pPr>
              <w:jc w:val="right"/>
              <w:rPr>
                <w:color w:val="000000"/>
                <w:sz w:val="20"/>
                <w:szCs w:val="20"/>
              </w:rPr>
            </w:pPr>
            <w:r w:rsidRPr="00971912">
              <w:rPr>
                <w:color w:val="000000"/>
                <w:sz w:val="20"/>
                <w:szCs w:val="20"/>
              </w:rPr>
              <w:t>-0.0486</w:t>
            </w:r>
          </w:p>
        </w:tc>
      </w:tr>
      <w:tr w:rsidR="00315077" w:rsidRPr="00D75E5D" w14:paraId="3F707872" w14:textId="77777777" w:rsidTr="00315077">
        <w:trPr>
          <w:trHeight w:val="300"/>
        </w:trPr>
        <w:tc>
          <w:tcPr>
            <w:tcW w:w="2003" w:type="pct"/>
            <w:tcBorders>
              <w:top w:val="nil"/>
              <w:left w:val="nil"/>
              <w:bottom w:val="nil"/>
              <w:right w:val="nil"/>
            </w:tcBorders>
            <w:shd w:val="clear" w:color="auto" w:fill="auto"/>
            <w:noWrap/>
            <w:vAlign w:val="bottom"/>
            <w:hideMark/>
          </w:tcPr>
          <w:p w14:paraId="2C11E138" w14:textId="77777777" w:rsidR="00315077" w:rsidRPr="00971912" w:rsidRDefault="00315077" w:rsidP="00315077">
            <w:pPr>
              <w:rPr>
                <w:color w:val="000000"/>
                <w:sz w:val="20"/>
                <w:szCs w:val="20"/>
              </w:rPr>
            </w:pPr>
            <w:r w:rsidRPr="00971912">
              <w:rPr>
                <w:color w:val="000000"/>
                <w:sz w:val="20"/>
                <w:szCs w:val="20"/>
              </w:rPr>
              <w:t xml:space="preserve">Wuhan Iron and </w:t>
            </w:r>
            <w:proofErr w:type="spellStart"/>
            <w:r w:rsidRPr="00971912">
              <w:rPr>
                <w:color w:val="000000"/>
                <w:sz w:val="20"/>
                <w:szCs w:val="20"/>
              </w:rPr>
              <w:t>Steal</w:t>
            </w:r>
            <w:proofErr w:type="spellEnd"/>
            <w:r w:rsidRPr="00971912">
              <w:rPr>
                <w:color w:val="000000"/>
                <w:sz w:val="20"/>
                <w:szCs w:val="20"/>
              </w:rPr>
              <w:t xml:space="preserve"> (Group) Company</w:t>
            </w:r>
          </w:p>
        </w:tc>
        <w:tc>
          <w:tcPr>
            <w:tcW w:w="1455" w:type="pct"/>
            <w:tcBorders>
              <w:top w:val="nil"/>
              <w:left w:val="nil"/>
              <w:bottom w:val="nil"/>
              <w:right w:val="nil"/>
            </w:tcBorders>
            <w:vAlign w:val="bottom"/>
          </w:tcPr>
          <w:p w14:paraId="44F9E0A8" w14:textId="77777777" w:rsidR="00315077" w:rsidRPr="00971912" w:rsidRDefault="00315077" w:rsidP="00315077">
            <w:pPr>
              <w:rPr>
                <w:color w:val="000000"/>
                <w:sz w:val="20"/>
                <w:szCs w:val="20"/>
              </w:rPr>
            </w:pPr>
            <w:r w:rsidRPr="00971912">
              <w:rPr>
                <w:color w:val="000000"/>
                <w:sz w:val="20"/>
                <w:szCs w:val="20"/>
              </w:rPr>
              <w:t>Steel</w:t>
            </w:r>
          </w:p>
        </w:tc>
        <w:tc>
          <w:tcPr>
            <w:tcW w:w="639" w:type="pct"/>
            <w:tcBorders>
              <w:top w:val="nil"/>
              <w:left w:val="nil"/>
              <w:bottom w:val="nil"/>
              <w:right w:val="nil"/>
            </w:tcBorders>
            <w:shd w:val="clear" w:color="auto" w:fill="auto"/>
            <w:noWrap/>
            <w:vAlign w:val="bottom"/>
            <w:hideMark/>
          </w:tcPr>
          <w:p w14:paraId="412C7987" w14:textId="77777777" w:rsidR="00315077" w:rsidRPr="00971912" w:rsidRDefault="00315077" w:rsidP="00315077">
            <w:pPr>
              <w:rPr>
                <w:color w:val="000000"/>
                <w:sz w:val="20"/>
                <w:szCs w:val="20"/>
              </w:rPr>
            </w:pPr>
            <w:r w:rsidRPr="00971912">
              <w:rPr>
                <w:color w:val="000000"/>
                <w:sz w:val="20"/>
                <w:szCs w:val="20"/>
              </w:rPr>
              <w:t>2003-2016</w:t>
            </w:r>
          </w:p>
        </w:tc>
        <w:tc>
          <w:tcPr>
            <w:tcW w:w="376" w:type="pct"/>
            <w:tcBorders>
              <w:top w:val="nil"/>
              <w:left w:val="nil"/>
              <w:bottom w:val="nil"/>
              <w:right w:val="nil"/>
            </w:tcBorders>
            <w:shd w:val="clear" w:color="auto" w:fill="auto"/>
            <w:noWrap/>
            <w:vAlign w:val="bottom"/>
            <w:hideMark/>
          </w:tcPr>
          <w:p w14:paraId="623F0A7B" w14:textId="77777777" w:rsidR="00315077" w:rsidRPr="00971912" w:rsidRDefault="00315077" w:rsidP="00315077">
            <w:pPr>
              <w:jc w:val="right"/>
              <w:rPr>
                <w:color w:val="000000"/>
                <w:sz w:val="20"/>
                <w:szCs w:val="20"/>
              </w:rPr>
            </w:pPr>
            <w:r w:rsidRPr="00971912">
              <w:rPr>
                <w:color w:val="000000"/>
                <w:sz w:val="20"/>
                <w:szCs w:val="20"/>
              </w:rPr>
              <w:t>0.42</w:t>
            </w:r>
          </w:p>
        </w:tc>
        <w:tc>
          <w:tcPr>
            <w:tcW w:w="527" w:type="pct"/>
            <w:tcBorders>
              <w:top w:val="nil"/>
              <w:left w:val="nil"/>
              <w:bottom w:val="nil"/>
              <w:right w:val="nil"/>
            </w:tcBorders>
            <w:shd w:val="clear" w:color="auto" w:fill="auto"/>
            <w:noWrap/>
            <w:vAlign w:val="bottom"/>
            <w:hideMark/>
          </w:tcPr>
          <w:p w14:paraId="2781F3BE" w14:textId="77777777" w:rsidR="00315077" w:rsidRPr="00971912" w:rsidRDefault="00315077" w:rsidP="00315077">
            <w:pPr>
              <w:jc w:val="right"/>
              <w:rPr>
                <w:color w:val="000000"/>
                <w:sz w:val="20"/>
                <w:szCs w:val="20"/>
              </w:rPr>
            </w:pPr>
            <w:r w:rsidRPr="00971912">
              <w:rPr>
                <w:color w:val="000000"/>
                <w:sz w:val="20"/>
                <w:szCs w:val="20"/>
              </w:rPr>
              <w:t>-0.0949</w:t>
            </w:r>
          </w:p>
        </w:tc>
      </w:tr>
      <w:tr w:rsidR="00315077" w:rsidRPr="00D75E5D" w14:paraId="7882B9CF" w14:textId="77777777" w:rsidTr="00315077">
        <w:trPr>
          <w:trHeight w:val="300"/>
        </w:trPr>
        <w:tc>
          <w:tcPr>
            <w:tcW w:w="2003" w:type="pct"/>
            <w:tcBorders>
              <w:top w:val="nil"/>
              <w:left w:val="nil"/>
              <w:bottom w:val="nil"/>
              <w:right w:val="nil"/>
            </w:tcBorders>
            <w:shd w:val="clear" w:color="auto" w:fill="auto"/>
            <w:noWrap/>
            <w:vAlign w:val="bottom"/>
            <w:hideMark/>
          </w:tcPr>
          <w:p w14:paraId="58C97EA3" w14:textId="77777777" w:rsidR="00315077" w:rsidRPr="00971912" w:rsidRDefault="00315077" w:rsidP="00315077">
            <w:pPr>
              <w:rPr>
                <w:color w:val="000000"/>
                <w:sz w:val="20"/>
                <w:szCs w:val="20"/>
              </w:rPr>
            </w:pPr>
            <w:r w:rsidRPr="00971912">
              <w:rPr>
                <w:color w:val="000000"/>
                <w:sz w:val="20"/>
                <w:szCs w:val="20"/>
              </w:rPr>
              <w:t>Aluminum Corporation of China</w:t>
            </w:r>
          </w:p>
        </w:tc>
        <w:tc>
          <w:tcPr>
            <w:tcW w:w="1455" w:type="pct"/>
            <w:tcBorders>
              <w:top w:val="nil"/>
              <w:left w:val="nil"/>
              <w:bottom w:val="nil"/>
              <w:right w:val="nil"/>
            </w:tcBorders>
            <w:vAlign w:val="bottom"/>
          </w:tcPr>
          <w:p w14:paraId="450C0928" w14:textId="77777777" w:rsidR="00315077" w:rsidRPr="00971912" w:rsidRDefault="00315077" w:rsidP="00315077">
            <w:pPr>
              <w:rPr>
                <w:color w:val="000000"/>
                <w:sz w:val="20"/>
                <w:szCs w:val="20"/>
              </w:rPr>
            </w:pPr>
            <w:r w:rsidRPr="00971912">
              <w:rPr>
                <w:color w:val="000000"/>
                <w:sz w:val="20"/>
                <w:szCs w:val="20"/>
              </w:rPr>
              <w:t>Aluminum</w:t>
            </w:r>
          </w:p>
        </w:tc>
        <w:tc>
          <w:tcPr>
            <w:tcW w:w="639" w:type="pct"/>
            <w:tcBorders>
              <w:top w:val="nil"/>
              <w:left w:val="nil"/>
              <w:bottom w:val="nil"/>
              <w:right w:val="nil"/>
            </w:tcBorders>
            <w:shd w:val="clear" w:color="auto" w:fill="auto"/>
            <w:noWrap/>
            <w:vAlign w:val="bottom"/>
            <w:hideMark/>
          </w:tcPr>
          <w:p w14:paraId="79C82A7B"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0F12A08E" w14:textId="77777777" w:rsidR="00315077" w:rsidRPr="00971912" w:rsidRDefault="00315077" w:rsidP="00315077">
            <w:pPr>
              <w:jc w:val="right"/>
              <w:rPr>
                <w:color w:val="000000"/>
                <w:sz w:val="20"/>
                <w:szCs w:val="20"/>
              </w:rPr>
            </w:pPr>
            <w:r w:rsidRPr="00971912">
              <w:rPr>
                <w:color w:val="000000"/>
                <w:sz w:val="20"/>
                <w:szCs w:val="20"/>
              </w:rPr>
              <w:t>0.31</w:t>
            </w:r>
          </w:p>
        </w:tc>
        <w:tc>
          <w:tcPr>
            <w:tcW w:w="527" w:type="pct"/>
            <w:tcBorders>
              <w:top w:val="nil"/>
              <w:left w:val="nil"/>
              <w:bottom w:val="nil"/>
              <w:right w:val="nil"/>
            </w:tcBorders>
            <w:shd w:val="clear" w:color="auto" w:fill="auto"/>
            <w:noWrap/>
            <w:vAlign w:val="bottom"/>
            <w:hideMark/>
          </w:tcPr>
          <w:p w14:paraId="58A62267" w14:textId="77777777" w:rsidR="00315077" w:rsidRPr="00971912" w:rsidRDefault="00315077" w:rsidP="00315077">
            <w:pPr>
              <w:jc w:val="right"/>
              <w:rPr>
                <w:color w:val="000000"/>
                <w:sz w:val="20"/>
                <w:szCs w:val="20"/>
              </w:rPr>
            </w:pPr>
            <w:r w:rsidRPr="00971912">
              <w:rPr>
                <w:color w:val="000000"/>
                <w:sz w:val="20"/>
                <w:szCs w:val="20"/>
              </w:rPr>
              <w:t>-0.1402</w:t>
            </w:r>
          </w:p>
        </w:tc>
      </w:tr>
      <w:tr w:rsidR="00315077" w:rsidRPr="00D75E5D" w14:paraId="3C8B5F8D" w14:textId="77777777" w:rsidTr="00315077">
        <w:trPr>
          <w:trHeight w:val="300"/>
        </w:trPr>
        <w:tc>
          <w:tcPr>
            <w:tcW w:w="2003" w:type="pct"/>
            <w:tcBorders>
              <w:top w:val="nil"/>
              <w:left w:val="nil"/>
              <w:bottom w:val="nil"/>
              <w:right w:val="nil"/>
            </w:tcBorders>
            <w:shd w:val="clear" w:color="auto" w:fill="auto"/>
            <w:noWrap/>
            <w:vAlign w:val="bottom"/>
            <w:hideMark/>
          </w:tcPr>
          <w:p w14:paraId="4A1F25B9" w14:textId="77777777" w:rsidR="00315077" w:rsidRPr="00971912" w:rsidRDefault="00315077" w:rsidP="00315077">
            <w:pPr>
              <w:rPr>
                <w:color w:val="000000"/>
                <w:sz w:val="20"/>
                <w:szCs w:val="20"/>
              </w:rPr>
            </w:pPr>
            <w:r w:rsidRPr="00971912">
              <w:rPr>
                <w:color w:val="000000"/>
                <w:sz w:val="20"/>
                <w:szCs w:val="20"/>
              </w:rPr>
              <w:t>China Ocean Shipping (Group) Corporation</w:t>
            </w:r>
          </w:p>
        </w:tc>
        <w:tc>
          <w:tcPr>
            <w:tcW w:w="1455" w:type="pct"/>
            <w:tcBorders>
              <w:top w:val="nil"/>
              <w:left w:val="nil"/>
              <w:bottom w:val="nil"/>
              <w:right w:val="nil"/>
            </w:tcBorders>
            <w:vAlign w:val="bottom"/>
          </w:tcPr>
          <w:p w14:paraId="27F6F6DC" w14:textId="77777777" w:rsidR="00315077" w:rsidRPr="00971912" w:rsidRDefault="00315077" w:rsidP="00315077">
            <w:pPr>
              <w:rPr>
                <w:color w:val="000000"/>
                <w:sz w:val="20"/>
                <w:szCs w:val="20"/>
              </w:rPr>
            </w:pPr>
            <w:r w:rsidRPr="00971912">
              <w:rPr>
                <w:color w:val="000000"/>
                <w:sz w:val="20"/>
                <w:szCs w:val="20"/>
              </w:rPr>
              <w:t>Shipping</w:t>
            </w:r>
          </w:p>
        </w:tc>
        <w:tc>
          <w:tcPr>
            <w:tcW w:w="639" w:type="pct"/>
            <w:tcBorders>
              <w:top w:val="nil"/>
              <w:left w:val="nil"/>
              <w:bottom w:val="nil"/>
              <w:right w:val="nil"/>
            </w:tcBorders>
            <w:shd w:val="clear" w:color="auto" w:fill="auto"/>
            <w:noWrap/>
            <w:vAlign w:val="bottom"/>
            <w:hideMark/>
          </w:tcPr>
          <w:p w14:paraId="486928CB" w14:textId="77777777" w:rsidR="00315077" w:rsidRPr="00971912" w:rsidRDefault="00315077" w:rsidP="00315077">
            <w:pPr>
              <w:rPr>
                <w:color w:val="000000"/>
                <w:sz w:val="20"/>
                <w:szCs w:val="20"/>
              </w:rPr>
            </w:pPr>
            <w:r w:rsidRPr="00971912">
              <w:rPr>
                <w:color w:val="000000"/>
                <w:sz w:val="20"/>
                <w:szCs w:val="20"/>
              </w:rPr>
              <w:t>2003-2016</w:t>
            </w:r>
          </w:p>
        </w:tc>
        <w:tc>
          <w:tcPr>
            <w:tcW w:w="376" w:type="pct"/>
            <w:tcBorders>
              <w:top w:val="nil"/>
              <w:left w:val="nil"/>
              <w:bottom w:val="nil"/>
              <w:right w:val="nil"/>
            </w:tcBorders>
            <w:shd w:val="clear" w:color="auto" w:fill="auto"/>
            <w:noWrap/>
            <w:vAlign w:val="bottom"/>
            <w:hideMark/>
          </w:tcPr>
          <w:p w14:paraId="054EC98B" w14:textId="77777777" w:rsidR="00315077" w:rsidRPr="00971912" w:rsidRDefault="00315077" w:rsidP="00315077">
            <w:pPr>
              <w:jc w:val="right"/>
              <w:rPr>
                <w:color w:val="000000"/>
                <w:sz w:val="20"/>
                <w:szCs w:val="20"/>
              </w:rPr>
            </w:pPr>
            <w:r w:rsidRPr="00971912">
              <w:rPr>
                <w:color w:val="000000"/>
                <w:sz w:val="20"/>
                <w:szCs w:val="20"/>
              </w:rPr>
              <w:t>0.38</w:t>
            </w:r>
          </w:p>
        </w:tc>
        <w:tc>
          <w:tcPr>
            <w:tcW w:w="527" w:type="pct"/>
            <w:tcBorders>
              <w:top w:val="nil"/>
              <w:left w:val="nil"/>
              <w:bottom w:val="nil"/>
              <w:right w:val="nil"/>
            </w:tcBorders>
            <w:shd w:val="clear" w:color="auto" w:fill="auto"/>
            <w:noWrap/>
            <w:vAlign w:val="bottom"/>
            <w:hideMark/>
          </w:tcPr>
          <w:p w14:paraId="3A968C26" w14:textId="77777777" w:rsidR="00315077" w:rsidRPr="00971912" w:rsidRDefault="00315077" w:rsidP="00315077">
            <w:pPr>
              <w:jc w:val="right"/>
              <w:rPr>
                <w:color w:val="000000"/>
                <w:sz w:val="20"/>
                <w:szCs w:val="20"/>
              </w:rPr>
            </w:pPr>
            <w:r w:rsidRPr="00971912">
              <w:rPr>
                <w:color w:val="000000"/>
                <w:sz w:val="20"/>
                <w:szCs w:val="20"/>
              </w:rPr>
              <w:t>-0.0876</w:t>
            </w:r>
          </w:p>
        </w:tc>
      </w:tr>
      <w:tr w:rsidR="00315077" w:rsidRPr="00D75E5D" w14:paraId="419E26AD" w14:textId="77777777" w:rsidTr="00315077">
        <w:trPr>
          <w:trHeight w:val="300"/>
        </w:trPr>
        <w:tc>
          <w:tcPr>
            <w:tcW w:w="2003" w:type="pct"/>
            <w:tcBorders>
              <w:top w:val="nil"/>
              <w:left w:val="nil"/>
              <w:bottom w:val="nil"/>
              <w:right w:val="nil"/>
            </w:tcBorders>
            <w:shd w:val="clear" w:color="auto" w:fill="auto"/>
            <w:noWrap/>
            <w:vAlign w:val="bottom"/>
            <w:hideMark/>
          </w:tcPr>
          <w:p w14:paraId="49DD8495" w14:textId="77777777" w:rsidR="00315077" w:rsidRPr="00971912" w:rsidRDefault="00315077" w:rsidP="00315077">
            <w:pPr>
              <w:rPr>
                <w:color w:val="000000"/>
                <w:sz w:val="20"/>
                <w:szCs w:val="20"/>
              </w:rPr>
            </w:pPr>
            <w:r w:rsidRPr="00971912">
              <w:rPr>
                <w:color w:val="000000"/>
                <w:sz w:val="20"/>
                <w:szCs w:val="20"/>
              </w:rPr>
              <w:t>China Shipping (Group) Corporation</w:t>
            </w:r>
          </w:p>
        </w:tc>
        <w:tc>
          <w:tcPr>
            <w:tcW w:w="1455" w:type="pct"/>
            <w:tcBorders>
              <w:top w:val="nil"/>
              <w:left w:val="nil"/>
              <w:bottom w:val="nil"/>
              <w:right w:val="nil"/>
            </w:tcBorders>
            <w:vAlign w:val="bottom"/>
          </w:tcPr>
          <w:p w14:paraId="5234123B" w14:textId="77777777" w:rsidR="00315077" w:rsidRPr="00971912" w:rsidRDefault="00315077" w:rsidP="00315077">
            <w:pPr>
              <w:rPr>
                <w:color w:val="000000"/>
                <w:sz w:val="20"/>
                <w:szCs w:val="20"/>
              </w:rPr>
            </w:pPr>
            <w:r w:rsidRPr="00971912">
              <w:rPr>
                <w:color w:val="000000"/>
                <w:sz w:val="20"/>
                <w:szCs w:val="20"/>
              </w:rPr>
              <w:t>Shipping</w:t>
            </w:r>
          </w:p>
        </w:tc>
        <w:tc>
          <w:tcPr>
            <w:tcW w:w="639" w:type="pct"/>
            <w:tcBorders>
              <w:top w:val="nil"/>
              <w:left w:val="nil"/>
              <w:bottom w:val="nil"/>
              <w:right w:val="nil"/>
            </w:tcBorders>
            <w:shd w:val="clear" w:color="auto" w:fill="auto"/>
            <w:noWrap/>
            <w:vAlign w:val="bottom"/>
            <w:hideMark/>
          </w:tcPr>
          <w:p w14:paraId="32AC53ED" w14:textId="77777777" w:rsidR="00315077" w:rsidRPr="00971912" w:rsidRDefault="00315077" w:rsidP="00315077">
            <w:pPr>
              <w:rPr>
                <w:color w:val="000000"/>
                <w:sz w:val="20"/>
                <w:szCs w:val="20"/>
              </w:rPr>
            </w:pPr>
            <w:r w:rsidRPr="00971912">
              <w:rPr>
                <w:color w:val="000000"/>
                <w:sz w:val="20"/>
                <w:szCs w:val="20"/>
              </w:rPr>
              <w:t>2003-2015</w:t>
            </w:r>
          </w:p>
        </w:tc>
        <w:tc>
          <w:tcPr>
            <w:tcW w:w="376" w:type="pct"/>
            <w:tcBorders>
              <w:top w:val="nil"/>
              <w:left w:val="nil"/>
              <w:bottom w:val="nil"/>
              <w:right w:val="nil"/>
            </w:tcBorders>
            <w:shd w:val="clear" w:color="auto" w:fill="auto"/>
            <w:noWrap/>
            <w:vAlign w:val="bottom"/>
            <w:hideMark/>
          </w:tcPr>
          <w:p w14:paraId="181C738E" w14:textId="77777777" w:rsidR="00315077" w:rsidRPr="00971912" w:rsidRDefault="00315077" w:rsidP="00315077">
            <w:pPr>
              <w:jc w:val="right"/>
              <w:rPr>
                <w:color w:val="000000"/>
                <w:sz w:val="20"/>
                <w:szCs w:val="20"/>
              </w:rPr>
            </w:pPr>
            <w:r w:rsidRPr="00971912">
              <w:rPr>
                <w:color w:val="000000"/>
                <w:sz w:val="20"/>
                <w:szCs w:val="20"/>
              </w:rPr>
              <w:t>0.21</w:t>
            </w:r>
          </w:p>
        </w:tc>
        <w:tc>
          <w:tcPr>
            <w:tcW w:w="527" w:type="pct"/>
            <w:tcBorders>
              <w:top w:val="nil"/>
              <w:left w:val="nil"/>
              <w:bottom w:val="nil"/>
              <w:right w:val="nil"/>
            </w:tcBorders>
            <w:shd w:val="clear" w:color="auto" w:fill="auto"/>
            <w:noWrap/>
            <w:vAlign w:val="bottom"/>
            <w:hideMark/>
          </w:tcPr>
          <w:p w14:paraId="1689DADE" w14:textId="77777777" w:rsidR="00315077" w:rsidRPr="00971912" w:rsidRDefault="00315077" w:rsidP="00315077">
            <w:pPr>
              <w:jc w:val="right"/>
              <w:rPr>
                <w:color w:val="000000"/>
                <w:sz w:val="20"/>
                <w:szCs w:val="20"/>
              </w:rPr>
            </w:pPr>
            <w:r w:rsidRPr="00971912">
              <w:rPr>
                <w:color w:val="000000"/>
                <w:sz w:val="20"/>
                <w:szCs w:val="20"/>
              </w:rPr>
              <w:t>-0.2020</w:t>
            </w:r>
          </w:p>
        </w:tc>
      </w:tr>
      <w:tr w:rsidR="00315077" w:rsidRPr="00D75E5D" w14:paraId="5EB0EE8B" w14:textId="77777777" w:rsidTr="00315077">
        <w:trPr>
          <w:trHeight w:val="300"/>
        </w:trPr>
        <w:tc>
          <w:tcPr>
            <w:tcW w:w="2003" w:type="pct"/>
            <w:tcBorders>
              <w:top w:val="nil"/>
              <w:left w:val="nil"/>
              <w:bottom w:val="nil"/>
              <w:right w:val="nil"/>
            </w:tcBorders>
            <w:shd w:val="clear" w:color="auto" w:fill="auto"/>
            <w:noWrap/>
            <w:vAlign w:val="bottom"/>
            <w:hideMark/>
          </w:tcPr>
          <w:p w14:paraId="6B3EA53E" w14:textId="77777777" w:rsidR="00315077" w:rsidRPr="00971912" w:rsidRDefault="00315077" w:rsidP="00315077">
            <w:pPr>
              <w:rPr>
                <w:color w:val="000000"/>
                <w:sz w:val="20"/>
                <w:szCs w:val="20"/>
              </w:rPr>
            </w:pPr>
            <w:r w:rsidRPr="00971912">
              <w:rPr>
                <w:color w:val="000000"/>
                <w:sz w:val="20"/>
                <w:szCs w:val="20"/>
              </w:rPr>
              <w:t>China National Aviation Corporation</w:t>
            </w:r>
          </w:p>
        </w:tc>
        <w:tc>
          <w:tcPr>
            <w:tcW w:w="1455" w:type="pct"/>
            <w:tcBorders>
              <w:top w:val="nil"/>
              <w:left w:val="nil"/>
              <w:bottom w:val="nil"/>
              <w:right w:val="nil"/>
            </w:tcBorders>
            <w:vAlign w:val="bottom"/>
          </w:tcPr>
          <w:p w14:paraId="5D563907" w14:textId="77777777" w:rsidR="00315077" w:rsidRPr="00971912" w:rsidRDefault="00315077" w:rsidP="00315077">
            <w:pPr>
              <w:rPr>
                <w:color w:val="000000"/>
                <w:sz w:val="20"/>
                <w:szCs w:val="20"/>
              </w:rPr>
            </w:pPr>
            <w:r w:rsidRPr="00971912">
              <w:rPr>
                <w:color w:val="000000"/>
                <w:sz w:val="20"/>
                <w:szCs w:val="20"/>
              </w:rPr>
              <w:t>Aviation</w:t>
            </w:r>
          </w:p>
        </w:tc>
        <w:tc>
          <w:tcPr>
            <w:tcW w:w="639" w:type="pct"/>
            <w:tcBorders>
              <w:top w:val="nil"/>
              <w:left w:val="nil"/>
              <w:bottom w:val="nil"/>
              <w:right w:val="nil"/>
            </w:tcBorders>
            <w:shd w:val="clear" w:color="auto" w:fill="auto"/>
            <w:noWrap/>
            <w:vAlign w:val="bottom"/>
            <w:hideMark/>
          </w:tcPr>
          <w:p w14:paraId="4FD6A4F9"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7883BFB7" w14:textId="77777777" w:rsidR="00315077" w:rsidRPr="00971912" w:rsidRDefault="00315077" w:rsidP="00315077">
            <w:pPr>
              <w:jc w:val="right"/>
              <w:rPr>
                <w:color w:val="000000"/>
                <w:sz w:val="20"/>
                <w:szCs w:val="20"/>
              </w:rPr>
            </w:pPr>
            <w:r w:rsidRPr="00971912">
              <w:rPr>
                <w:color w:val="000000"/>
                <w:sz w:val="20"/>
                <w:szCs w:val="20"/>
              </w:rPr>
              <w:t>0.27</w:t>
            </w:r>
          </w:p>
        </w:tc>
        <w:tc>
          <w:tcPr>
            <w:tcW w:w="527" w:type="pct"/>
            <w:tcBorders>
              <w:top w:val="nil"/>
              <w:left w:val="nil"/>
              <w:bottom w:val="nil"/>
              <w:right w:val="nil"/>
            </w:tcBorders>
            <w:shd w:val="clear" w:color="auto" w:fill="auto"/>
            <w:noWrap/>
            <w:vAlign w:val="bottom"/>
            <w:hideMark/>
          </w:tcPr>
          <w:p w14:paraId="715ED8D2" w14:textId="77777777" w:rsidR="00315077" w:rsidRPr="00971912" w:rsidRDefault="00315077" w:rsidP="00315077">
            <w:pPr>
              <w:jc w:val="right"/>
              <w:rPr>
                <w:color w:val="000000"/>
                <w:sz w:val="20"/>
                <w:szCs w:val="20"/>
              </w:rPr>
            </w:pPr>
            <w:r w:rsidRPr="00971912">
              <w:rPr>
                <w:color w:val="000000"/>
                <w:sz w:val="20"/>
                <w:szCs w:val="20"/>
              </w:rPr>
              <w:t>0.0962</w:t>
            </w:r>
          </w:p>
        </w:tc>
      </w:tr>
      <w:tr w:rsidR="00315077" w:rsidRPr="00D75E5D" w14:paraId="51FADF97" w14:textId="77777777" w:rsidTr="00315077">
        <w:trPr>
          <w:trHeight w:val="300"/>
        </w:trPr>
        <w:tc>
          <w:tcPr>
            <w:tcW w:w="2003" w:type="pct"/>
            <w:tcBorders>
              <w:top w:val="nil"/>
              <w:left w:val="nil"/>
              <w:bottom w:val="nil"/>
              <w:right w:val="nil"/>
            </w:tcBorders>
            <w:shd w:val="clear" w:color="auto" w:fill="auto"/>
            <w:noWrap/>
            <w:vAlign w:val="bottom"/>
            <w:hideMark/>
          </w:tcPr>
          <w:p w14:paraId="44BC26E2" w14:textId="77777777" w:rsidR="00315077" w:rsidRPr="00971912" w:rsidRDefault="00315077" w:rsidP="00315077">
            <w:pPr>
              <w:rPr>
                <w:color w:val="000000"/>
                <w:sz w:val="20"/>
                <w:szCs w:val="20"/>
              </w:rPr>
            </w:pPr>
            <w:r w:rsidRPr="00971912">
              <w:rPr>
                <w:color w:val="000000"/>
                <w:sz w:val="20"/>
                <w:szCs w:val="20"/>
              </w:rPr>
              <w:t>China Eastern Airlines Corporation</w:t>
            </w:r>
          </w:p>
        </w:tc>
        <w:tc>
          <w:tcPr>
            <w:tcW w:w="1455" w:type="pct"/>
            <w:tcBorders>
              <w:top w:val="nil"/>
              <w:left w:val="nil"/>
              <w:bottom w:val="nil"/>
              <w:right w:val="nil"/>
            </w:tcBorders>
            <w:vAlign w:val="bottom"/>
          </w:tcPr>
          <w:p w14:paraId="012C8485" w14:textId="77777777" w:rsidR="00315077" w:rsidRPr="00971912" w:rsidRDefault="00315077" w:rsidP="00315077">
            <w:pPr>
              <w:rPr>
                <w:color w:val="000000"/>
                <w:sz w:val="20"/>
                <w:szCs w:val="20"/>
              </w:rPr>
            </w:pPr>
            <w:r w:rsidRPr="00971912">
              <w:rPr>
                <w:color w:val="000000"/>
                <w:sz w:val="20"/>
                <w:szCs w:val="20"/>
              </w:rPr>
              <w:t>Aviation</w:t>
            </w:r>
          </w:p>
        </w:tc>
        <w:tc>
          <w:tcPr>
            <w:tcW w:w="639" w:type="pct"/>
            <w:tcBorders>
              <w:top w:val="nil"/>
              <w:left w:val="nil"/>
              <w:bottom w:val="nil"/>
              <w:right w:val="nil"/>
            </w:tcBorders>
            <w:shd w:val="clear" w:color="auto" w:fill="auto"/>
            <w:noWrap/>
            <w:vAlign w:val="bottom"/>
            <w:hideMark/>
          </w:tcPr>
          <w:p w14:paraId="23E4A2AF"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1541C82E" w14:textId="77777777" w:rsidR="00315077" w:rsidRPr="00971912" w:rsidRDefault="00315077" w:rsidP="00315077">
            <w:pPr>
              <w:jc w:val="right"/>
              <w:rPr>
                <w:color w:val="000000"/>
                <w:sz w:val="20"/>
                <w:szCs w:val="20"/>
              </w:rPr>
            </w:pPr>
            <w:r w:rsidRPr="00971912">
              <w:rPr>
                <w:color w:val="000000"/>
                <w:sz w:val="20"/>
                <w:szCs w:val="20"/>
              </w:rPr>
              <w:t>0.01</w:t>
            </w:r>
          </w:p>
        </w:tc>
        <w:tc>
          <w:tcPr>
            <w:tcW w:w="527" w:type="pct"/>
            <w:tcBorders>
              <w:top w:val="nil"/>
              <w:left w:val="nil"/>
              <w:bottom w:val="nil"/>
              <w:right w:val="nil"/>
            </w:tcBorders>
            <w:shd w:val="clear" w:color="auto" w:fill="auto"/>
            <w:noWrap/>
            <w:vAlign w:val="bottom"/>
            <w:hideMark/>
          </w:tcPr>
          <w:p w14:paraId="17A938F5" w14:textId="77777777" w:rsidR="00315077" w:rsidRPr="00971912" w:rsidRDefault="00315077" w:rsidP="00315077">
            <w:pPr>
              <w:jc w:val="right"/>
              <w:rPr>
                <w:color w:val="000000"/>
                <w:sz w:val="20"/>
                <w:szCs w:val="20"/>
              </w:rPr>
            </w:pPr>
            <w:r w:rsidRPr="00971912">
              <w:rPr>
                <w:color w:val="000000"/>
                <w:sz w:val="20"/>
                <w:szCs w:val="20"/>
              </w:rPr>
              <w:t>-0.0545</w:t>
            </w:r>
          </w:p>
        </w:tc>
      </w:tr>
      <w:tr w:rsidR="00315077" w:rsidRPr="00D75E5D" w14:paraId="4588FDF3" w14:textId="77777777" w:rsidTr="00315077">
        <w:trPr>
          <w:trHeight w:val="300"/>
        </w:trPr>
        <w:tc>
          <w:tcPr>
            <w:tcW w:w="2003" w:type="pct"/>
            <w:tcBorders>
              <w:top w:val="nil"/>
              <w:left w:val="nil"/>
              <w:bottom w:val="nil"/>
              <w:right w:val="nil"/>
            </w:tcBorders>
            <w:shd w:val="clear" w:color="auto" w:fill="auto"/>
            <w:noWrap/>
            <w:vAlign w:val="bottom"/>
            <w:hideMark/>
          </w:tcPr>
          <w:p w14:paraId="2060781D" w14:textId="77777777" w:rsidR="00315077" w:rsidRPr="00971912" w:rsidRDefault="00315077" w:rsidP="00315077">
            <w:pPr>
              <w:rPr>
                <w:color w:val="000000"/>
                <w:sz w:val="20"/>
                <w:szCs w:val="20"/>
              </w:rPr>
            </w:pPr>
            <w:r w:rsidRPr="00971912">
              <w:rPr>
                <w:color w:val="000000"/>
                <w:sz w:val="20"/>
                <w:szCs w:val="20"/>
              </w:rPr>
              <w:t>China Southern Airlines Corporation</w:t>
            </w:r>
          </w:p>
        </w:tc>
        <w:tc>
          <w:tcPr>
            <w:tcW w:w="1455" w:type="pct"/>
            <w:tcBorders>
              <w:top w:val="nil"/>
              <w:left w:val="nil"/>
              <w:bottom w:val="nil"/>
              <w:right w:val="nil"/>
            </w:tcBorders>
            <w:vAlign w:val="bottom"/>
          </w:tcPr>
          <w:p w14:paraId="2FECC102" w14:textId="77777777" w:rsidR="00315077" w:rsidRPr="00971912" w:rsidRDefault="00315077" w:rsidP="00315077">
            <w:pPr>
              <w:rPr>
                <w:color w:val="000000"/>
                <w:sz w:val="20"/>
                <w:szCs w:val="20"/>
              </w:rPr>
            </w:pPr>
            <w:r w:rsidRPr="00971912">
              <w:rPr>
                <w:color w:val="000000"/>
                <w:sz w:val="20"/>
                <w:szCs w:val="20"/>
              </w:rPr>
              <w:t>Aviation</w:t>
            </w:r>
          </w:p>
        </w:tc>
        <w:tc>
          <w:tcPr>
            <w:tcW w:w="639" w:type="pct"/>
            <w:tcBorders>
              <w:top w:val="nil"/>
              <w:left w:val="nil"/>
              <w:bottom w:val="nil"/>
              <w:right w:val="nil"/>
            </w:tcBorders>
            <w:shd w:val="clear" w:color="auto" w:fill="auto"/>
            <w:noWrap/>
            <w:vAlign w:val="bottom"/>
            <w:hideMark/>
          </w:tcPr>
          <w:p w14:paraId="28B546B7"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4D669DEA" w14:textId="77777777" w:rsidR="00315077" w:rsidRPr="00971912" w:rsidRDefault="00315077" w:rsidP="00315077">
            <w:pPr>
              <w:jc w:val="right"/>
              <w:rPr>
                <w:color w:val="000000"/>
                <w:sz w:val="20"/>
                <w:szCs w:val="20"/>
              </w:rPr>
            </w:pPr>
            <w:r w:rsidRPr="00971912">
              <w:rPr>
                <w:color w:val="000000"/>
                <w:sz w:val="20"/>
                <w:szCs w:val="20"/>
              </w:rPr>
              <w:t>0.14</w:t>
            </w:r>
          </w:p>
        </w:tc>
        <w:tc>
          <w:tcPr>
            <w:tcW w:w="527" w:type="pct"/>
            <w:tcBorders>
              <w:top w:val="nil"/>
              <w:left w:val="nil"/>
              <w:bottom w:val="nil"/>
              <w:right w:val="nil"/>
            </w:tcBorders>
            <w:shd w:val="clear" w:color="auto" w:fill="auto"/>
            <w:noWrap/>
            <w:vAlign w:val="bottom"/>
            <w:hideMark/>
          </w:tcPr>
          <w:p w14:paraId="74C50620" w14:textId="77777777" w:rsidR="00315077" w:rsidRPr="00971912" w:rsidRDefault="00315077" w:rsidP="00315077">
            <w:pPr>
              <w:jc w:val="right"/>
              <w:rPr>
                <w:color w:val="000000"/>
                <w:sz w:val="20"/>
                <w:szCs w:val="20"/>
              </w:rPr>
            </w:pPr>
            <w:r w:rsidRPr="00971912">
              <w:rPr>
                <w:color w:val="000000"/>
                <w:sz w:val="20"/>
                <w:szCs w:val="20"/>
              </w:rPr>
              <w:t>-0.0125</w:t>
            </w:r>
          </w:p>
        </w:tc>
      </w:tr>
      <w:tr w:rsidR="00315077" w:rsidRPr="00D75E5D" w14:paraId="7E957C54" w14:textId="77777777" w:rsidTr="00315077">
        <w:trPr>
          <w:trHeight w:val="300"/>
        </w:trPr>
        <w:tc>
          <w:tcPr>
            <w:tcW w:w="2003" w:type="pct"/>
            <w:tcBorders>
              <w:top w:val="nil"/>
              <w:left w:val="nil"/>
              <w:bottom w:val="nil"/>
              <w:right w:val="nil"/>
            </w:tcBorders>
            <w:shd w:val="clear" w:color="auto" w:fill="auto"/>
            <w:noWrap/>
            <w:vAlign w:val="bottom"/>
            <w:hideMark/>
          </w:tcPr>
          <w:p w14:paraId="338324BA" w14:textId="77777777" w:rsidR="00315077" w:rsidRPr="00971912" w:rsidRDefault="00315077" w:rsidP="00315077">
            <w:pPr>
              <w:rPr>
                <w:color w:val="000000"/>
                <w:sz w:val="20"/>
                <w:szCs w:val="20"/>
              </w:rPr>
            </w:pPr>
            <w:r w:rsidRPr="00971912">
              <w:rPr>
                <w:color w:val="000000"/>
                <w:sz w:val="20"/>
                <w:szCs w:val="20"/>
              </w:rPr>
              <w:t xml:space="preserve">China </w:t>
            </w:r>
            <w:proofErr w:type="spellStart"/>
            <w:r w:rsidRPr="00971912">
              <w:rPr>
                <w:color w:val="000000"/>
                <w:sz w:val="20"/>
                <w:szCs w:val="20"/>
              </w:rPr>
              <w:t>Sinochem</w:t>
            </w:r>
            <w:proofErr w:type="spellEnd"/>
            <w:r w:rsidRPr="00971912">
              <w:rPr>
                <w:color w:val="000000"/>
                <w:sz w:val="20"/>
                <w:szCs w:val="20"/>
              </w:rPr>
              <w:t xml:space="preserve"> Corporation</w:t>
            </w:r>
          </w:p>
        </w:tc>
        <w:tc>
          <w:tcPr>
            <w:tcW w:w="1455" w:type="pct"/>
            <w:tcBorders>
              <w:top w:val="nil"/>
              <w:left w:val="nil"/>
              <w:bottom w:val="nil"/>
              <w:right w:val="nil"/>
            </w:tcBorders>
            <w:vAlign w:val="bottom"/>
          </w:tcPr>
          <w:p w14:paraId="4924B80E" w14:textId="77777777" w:rsidR="00315077" w:rsidRPr="00971912" w:rsidRDefault="00315077" w:rsidP="00315077">
            <w:pPr>
              <w:rPr>
                <w:color w:val="000000"/>
                <w:sz w:val="20"/>
                <w:szCs w:val="20"/>
              </w:rPr>
            </w:pPr>
            <w:r w:rsidRPr="00971912">
              <w:rPr>
                <w:color w:val="000000"/>
                <w:sz w:val="20"/>
                <w:szCs w:val="20"/>
              </w:rPr>
              <w:t>Trading company and industrial product distributor</w:t>
            </w:r>
          </w:p>
        </w:tc>
        <w:tc>
          <w:tcPr>
            <w:tcW w:w="639" w:type="pct"/>
            <w:tcBorders>
              <w:top w:val="nil"/>
              <w:left w:val="nil"/>
              <w:bottom w:val="nil"/>
              <w:right w:val="nil"/>
            </w:tcBorders>
            <w:shd w:val="clear" w:color="auto" w:fill="auto"/>
            <w:noWrap/>
            <w:vAlign w:val="bottom"/>
            <w:hideMark/>
          </w:tcPr>
          <w:p w14:paraId="20B5CBAD"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79537679" w14:textId="77777777" w:rsidR="00315077" w:rsidRPr="00971912" w:rsidRDefault="00315077" w:rsidP="00315077">
            <w:pPr>
              <w:jc w:val="right"/>
              <w:rPr>
                <w:color w:val="000000"/>
                <w:sz w:val="20"/>
                <w:szCs w:val="20"/>
              </w:rPr>
            </w:pPr>
            <w:r w:rsidRPr="00971912">
              <w:rPr>
                <w:color w:val="000000"/>
                <w:sz w:val="20"/>
                <w:szCs w:val="20"/>
              </w:rPr>
              <w:t>0.49</w:t>
            </w:r>
          </w:p>
        </w:tc>
        <w:tc>
          <w:tcPr>
            <w:tcW w:w="527" w:type="pct"/>
            <w:tcBorders>
              <w:top w:val="nil"/>
              <w:left w:val="nil"/>
              <w:bottom w:val="nil"/>
              <w:right w:val="nil"/>
            </w:tcBorders>
            <w:shd w:val="clear" w:color="auto" w:fill="auto"/>
            <w:noWrap/>
            <w:vAlign w:val="bottom"/>
            <w:hideMark/>
          </w:tcPr>
          <w:p w14:paraId="11F4FCDE" w14:textId="77777777" w:rsidR="00315077" w:rsidRPr="00971912" w:rsidRDefault="00315077" w:rsidP="00315077">
            <w:pPr>
              <w:jc w:val="right"/>
              <w:rPr>
                <w:color w:val="000000"/>
                <w:sz w:val="20"/>
                <w:szCs w:val="20"/>
              </w:rPr>
            </w:pPr>
            <w:r w:rsidRPr="00971912">
              <w:rPr>
                <w:color w:val="000000"/>
                <w:sz w:val="20"/>
                <w:szCs w:val="20"/>
              </w:rPr>
              <w:t>-0.0382</w:t>
            </w:r>
          </w:p>
        </w:tc>
      </w:tr>
      <w:tr w:rsidR="00315077" w:rsidRPr="00D75E5D" w14:paraId="38AD0658" w14:textId="77777777" w:rsidTr="00315077">
        <w:trPr>
          <w:trHeight w:val="300"/>
        </w:trPr>
        <w:tc>
          <w:tcPr>
            <w:tcW w:w="2003" w:type="pct"/>
            <w:tcBorders>
              <w:top w:val="nil"/>
              <w:left w:val="nil"/>
              <w:bottom w:val="nil"/>
              <w:right w:val="nil"/>
            </w:tcBorders>
            <w:shd w:val="clear" w:color="auto" w:fill="auto"/>
            <w:noWrap/>
            <w:vAlign w:val="bottom"/>
            <w:hideMark/>
          </w:tcPr>
          <w:p w14:paraId="47CF9EBF" w14:textId="77777777" w:rsidR="00315077" w:rsidRPr="00971912" w:rsidRDefault="00315077" w:rsidP="00315077">
            <w:pPr>
              <w:rPr>
                <w:color w:val="000000"/>
                <w:sz w:val="20"/>
                <w:szCs w:val="20"/>
              </w:rPr>
            </w:pPr>
            <w:r w:rsidRPr="00971912">
              <w:rPr>
                <w:color w:val="000000"/>
                <w:sz w:val="20"/>
                <w:szCs w:val="20"/>
              </w:rPr>
              <w:t>COFOC Corporation</w:t>
            </w:r>
          </w:p>
        </w:tc>
        <w:tc>
          <w:tcPr>
            <w:tcW w:w="1455" w:type="pct"/>
            <w:tcBorders>
              <w:top w:val="nil"/>
              <w:left w:val="nil"/>
              <w:bottom w:val="nil"/>
              <w:right w:val="nil"/>
            </w:tcBorders>
            <w:vAlign w:val="bottom"/>
          </w:tcPr>
          <w:p w14:paraId="0309E586" w14:textId="77777777" w:rsidR="00315077" w:rsidRPr="00971912" w:rsidRDefault="00315077" w:rsidP="00315077">
            <w:pPr>
              <w:rPr>
                <w:color w:val="000000"/>
                <w:sz w:val="20"/>
                <w:szCs w:val="20"/>
              </w:rPr>
            </w:pPr>
            <w:r w:rsidRPr="00971912">
              <w:rPr>
                <w:color w:val="000000"/>
                <w:sz w:val="20"/>
                <w:szCs w:val="20"/>
              </w:rPr>
              <w:t>Consumer Goods Distributor</w:t>
            </w:r>
          </w:p>
        </w:tc>
        <w:tc>
          <w:tcPr>
            <w:tcW w:w="639" w:type="pct"/>
            <w:tcBorders>
              <w:top w:val="nil"/>
              <w:left w:val="nil"/>
              <w:bottom w:val="nil"/>
              <w:right w:val="nil"/>
            </w:tcBorders>
            <w:shd w:val="clear" w:color="auto" w:fill="auto"/>
            <w:noWrap/>
            <w:vAlign w:val="bottom"/>
            <w:hideMark/>
          </w:tcPr>
          <w:p w14:paraId="2DB6FAE1"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5FC3623B" w14:textId="77777777" w:rsidR="00315077" w:rsidRPr="00971912" w:rsidRDefault="00315077" w:rsidP="00315077">
            <w:pPr>
              <w:jc w:val="right"/>
              <w:rPr>
                <w:color w:val="000000"/>
                <w:sz w:val="20"/>
                <w:szCs w:val="20"/>
              </w:rPr>
            </w:pPr>
            <w:r w:rsidRPr="00971912">
              <w:rPr>
                <w:color w:val="000000"/>
                <w:sz w:val="20"/>
                <w:szCs w:val="20"/>
              </w:rPr>
              <w:t>-0.15</w:t>
            </w:r>
          </w:p>
        </w:tc>
        <w:tc>
          <w:tcPr>
            <w:tcW w:w="527" w:type="pct"/>
            <w:tcBorders>
              <w:top w:val="nil"/>
              <w:left w:val="nil"/>
              <w:bottom w:val="nil"/>
              <w:right w:val="nil"/>
            </w:tcBorders>
            <w:shd w:val="clear" w:color="auto" w:fill="auto"/>
            <w:noWrap/>
            <w:vAlign w:val="bottom"/>
            <w:hideMark/>
          </w:tcPr>
          <w:p w14:paraId="659C4FC4" w14:textId="77777777" w:rsidR="00315077" w:rsidRPr="00971912" w:rsidRDefault="00315077" w:rsidP="00315077">
            <w:pPr>
              <w:jc w:val="right"/>
              <w:rPr>
                <w:color w:val="000000"/>
                <w:sz w:val="20"/>
                <w:szCs w:val="20"/>
              </w:rPr>
            </w:pPr>
            <w:r w:rsidRPr="00971912">
              <w:rPr>
                <w:color w:val="000000"/>
                <w:sz w:val="20"/>
                <w:szCs w:val="20"/>
              </w:rPr>
              <w:t>0.0198</w:t>
            </w:r>
          </w:p>
        </w:tc>
      </w:tr>
      <w:tr w:rsidR="00315077" w:rsidRPr="00D75E5D" w14:paraId="5BA97B88" w14:textId="77777777" w:rsidTr="00315077">
        <w:trPr>
          <w:trHeight w:val="300"/>
        </w:trPr>
        <w:tc>
          <w:tcPr>
            <w:tcW w:w="2003" w:type="pct"/>
            <w:tcBorders>
              <w:top w:val="nil"/>
              <w:left w:val="nil"/>
              <w:bottom w:val="nil"/>
              <w:right w:val="nil"/>
            </w:tcBorders>
            <w:shd w:val="clear" w:color="auto" w:fill="auto"/>
            <w:noWrap/>
            <w:vAlign w:val="bottom"/>
            <w:hideMark/>
          </w:tcPr>
          <w:p w14:paraId="60D92646" w14:textId="77777777" w:rsidR="00315077" w:rsidRPr="00971912" w:rsidRDefault="00315077" w:rsidP="00315077">
            <w:pPr>
              <w:rPr>
                <w:color w:val="000000"/>
                <w:sz w:val="20"/>
                <w:szCs w:val="20"/>
              </w:rPr>
            </w:pPr>
            <w:r w:rsidRPr="00971912">
              <w:rPr>
                <w:color w:val="000000"/>
                <w:sz w:val="20"/>
                <w:szCs w:val="20"/>
              </w:rPr>
              <w:t xml:space="preserve">China </w:t>
            </w:r>
            <w:proofErr w:type="spellStart"/>
            <w:r w:rsidRPr="00971912">
              <w:rPr>
                <w:color w:val="000000"/>
                <w:sz w:val="20"/>
                <w:szCs w:val="20"/>
              </w:rPr>
              <w:t>Minmetals</w:t>
            </w:r>
            <w:proofErr w:type="spellEnd"/>
            <w:r w:rsidRPr="00971912">
              <w:rPr>
                <w:color w:val="000000"/>
                <w:sz w:val="20"/>
                <w:szCs w:val="20"/>
              </w:rPr>
              <w:t xml:space="preserve"> Corporation</w:t>
            </w:r>
          </w:p>
        </w:tc>
        <w:tc>
          <w:tcPr>
            <w:tcW w:w="1455" w:type="pct"/>
            <w:tcBorders>
              <w:top w:val="nil"/>
              <w:left w:val="nil"/>
              <w:bottom w:val="nil"/>
              <w:right w:val="nil"/>
            </w:tcBorders>
            <w:vAlign w:val="bottom"/>
          </w:tcPr>
          <w:p w14:paraId="059E3023" w14:textId="77777777" w:rsidR="00315077" w:rsidRPr="00971912" w:rsidRDefault="00315077" w:rsidP="00315077">
            <w:pPr>
              <w:rPr>
                <w:color w:val="000000"/>
                <w:sz w:val="20"/>
                <w:szCs w:val="20"/>
              </w:rPr>
            </w:pPr>
            <w:r w:rsidRPr="00971912">
              <w:rPr>
                <w:color w:val="000000"/>
                <w:sz w:val="20"/>
                <w:szCs w:val="20"/>
              </w:rPr>
              <w:t>Trading company and industrial product distributor</w:t>
            </w:r>
          </w:p>
        </w:tc>
        <w:tc>
          <w:tcPr>
            <w:tcW w:w="639" w:type="pct"/>
            <w:tcBorders>
              <w:top w:val="nil"/>
              <w:left w:val="nil"/>
              <w:bottom w:val="nil"/>
              <w:right w:val="nil"/>
            </w:tcBorders>
            <w:shd w:val="clear" w:color="auto" w:fill="auto"/>
            <w:noWrap/>
            <w:vAlign w:val="bottom"/>
            <w:hideMark/>
          </w:tcPr>
          <w:p w14:paraId="20A966FD"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1DE0BB33" w14:textId="77777777" w:rsidR="00315077" w:rsidRPr="00971912" w:rsidRDefault="00315077" w:rsidP="00315077">
            <w:pPr>
              <w:jc w:val="right"/>
              <w:rPr>
                <w:color w:val="000000"/>
                <w:sz w:val="20"/>
                <w:szCs w:val="20"/>
              </w:rPr>
            </w:pPr>
            <w:r w:rsidRPr="00971912">
              <w:rPr>
                <w:color w:val="000000"/>
                <w:sz w:val="20"/>
                <w:szCs w:val="20"/>
              </w:rPr>
              <w:t>-0.02</w:t>
            </w:r>
          </w:p>
        </w:tc>
        <w:tc>
          <w:tcPr>
            <w:tcW w:w="527" w:type="pct"/>
            <w:tcBorders>
              <w:top w:val="nil"/>
              <w:left w:val="nil"/>
              <w:bottom w:val="nil"/>
              <w:right w:val="nil"/>
            </w:tcBorders>
            <w:shd w:val="clear" w:color="auto" w:fill="auto"/>
            <w:noWrap/>
            <w:vAlign w:val="bottom"/>
            <w:hideMark/>
          </w:tcPr>
          <w:p w14:paraId="517A4B59" w14:textId="77777777" w:rsidR="00315077" w:rsidRPr="00971912" w:rsidRDefault="00315077" w:rsidP="00315077">
            <w:pPr>
              <w:jc w:val="right"/>
              <w:rPr>
                <w:color w:val="000000"/>
                <w:sz w:val="20"/>
                <w:szCs w:val="20"/>
              </w:rPr>
            </w:pPr>
            <w:r w:rsidRPr="00971912">
              <w:rPr>
                <w:color w:val="000000"/>
                <w:sz w:val="20"/>
                <w:szCs w:val="20"/>
              </w:rPr>
              <w:t>0.1439</w:t>
            </w:r>
          </w:p>
        </w:tc>
      </w:tr>
      <w:tr w:rsidR="00315077" w:rsidRPr="00D75E5D" w14:paraId="6FEE7D07" w14:textId="77777777" w:rsidTr="00315077">
        <w:trPr>
          <w:trHeight w:val="300"/>
        </w:trPr>
        <w:tc>
          <w:tcPr>
            <w:tcW w:w="2003" w:type="pct"/>
            <w:tcBorders>
              <w:top w:val="nil"/>
              <w:left w:val="nil"/>
              <w:bottom w:val="nil"/>
              <w:right w:val="nil"/>
            </w:tcBorders>
            <w:shd w:val="clear" w:color="auto" w:fill="auto"/>
            <w:noWrap/>
            <w:vAlign w:val="bottom"/>
            <w:hideMark/>
          </w:tcPr>
          <w:p w14:paraId="0FF50752" w14:textId="77777777" w:rsidR="00315077" w:rsidRPr="00971912" w:rsidRDefault="00315077" w:rsidP="00315077">
            <w:pPr>
              <w:rPr>
                <w:color w:val="000000"/>
                <w:sz w:val="20"/>
                <w:szCs w:val="20"/>
              </w:rPr>
            </w:pPr>
            <w:r w:rsidRPr="00971912">
              <w:rPr>
                <w:color w:val="000000"/>
                <w:sz w:val="20"/>
                <w:szCs w:val="20"/>
              </w:rPr>
              <w:t>China General Technology (Group) Holding Co., Ltd.</w:t>
            </w:r>
          </w:p>
        </w:tc>
        <w:tc>
          <w:tcPr>
            <w:tcW w:w="1455" w:type="pct"/>
            <w:tcBorders>
              <w:top w:val="nil"/>
              <w:left w:val="nil"/>
              <w:bottom w:val="nil"/>
              <w:right w:val="nil"/>
            </w:tcBorders>
            <w:vAlign w:val="bottom"/>
          </w:tcPr>
          <w:p w14:paraId="46269261" w14:textId="77777777" w:rsidR="00315077" w:rsidRPr="00971912" w:rsidRDefault="00315077" w:rsidP="00315077">
            <w:pPr>
              <w:rPr>
                <w:color w:val="000000"/>
                <w:sz w:val="20"/>
                <w:szCs w:val="20"/>
              </w:rPr>
            </w:pPr>
            <w:r w:rsidRPr="00971912">
              <w:rPr>
                <w:color w:val="000000"/>
                <w:sz w:val="20"/>
                <w:szCs w:val="20"/>
              </w:rPr>
              <w:t>trading company and industrial product distributor</w:t>
            </w:r>
          </w:p>
        </w:tc>
        <w:tc>
          <w:tcPr>
            <w:tcW w:w="639" w:type="pct"/>
            <w:tcBorders>
              <w:top w:val="nil"/>
              <w:left w:val="nil"/>
              <w:bottom w:val="nil"/>
              <w:right w:val="nil"/>
            </w:tcBorders>
            <w:shd w:val="clear" w:color="auto" w:fill="auto"/>
            <w:noWrap/>
            <w:vAlign w:val="bottom"/>
            <w:hideMark/>
          </w:tcPr>
          <w:p w14:paraId="50CA78EA"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028D9582" w14:textId="77777777" w:rsidR="00315077" w:rsidRPr="00971912" w:rsidRDefault="00315077" w:rsidP="00315077">
            <w:pPr>
              <w:jc w:val="right"/>
              <w:rPr>
                <w:color w:val="000000"/>
                <w:sz w:val="20"/>
                <w:szCs w:val="20"/>
              </w:rPr>
            </w:pPr>
            <w:r w:rsidRPr="00971912">
              <w:rPr>
                <w:color w:val="000000"/>
                <w:sz w:val="20"/>
                <w:szCs w:val="20"/>
              </w:rPr>
              <w:t>0.54</w:t>
            </w:r>
          </w:p>
        </w:tc>
        <w:tc>
          <w:tcPr>
            <w:tcW w:w="527" w:type="pct"/>
            <w:tcBorders>
              <w:top w:val="nil"/>
              <w:left w:val="nil"/>
              <w:bottom w:val="nil"/>
              <w:right w:val="nil"/>
            </w:tcBorders>
            <w:shd w:val="clear" w:color="auto" w:fill="auto"/>
            <w:noWrap/>
            <w:vAlign w:val="bottom"/>
            <w:hideMark/>
          </w:tcPr>
          <w:p w14:paraId="0CAD504E" w14:textId="77777777" w:rsidR="00315077" w:rsidRPr="00971912" w:rsidRDefault="00315077" w:rsidP="00315077">
            <w:pPr>
              <w:jc w:val="right"/>
              <w:rPr>
                <w:color w:val="000000"/>
                <w:sz w:val="20"/>
                <w:szCs w:val="20"/>
              </w:rPr>
            </w:pPr>
            <w:r w:rsidRPr="00971912">
              <w:rPr>
                <w:color w:val="000000"/>
                <w:sz w:val="20"/>
                <w:szCs w:val="20"/>
              </w:rPr>
              <w:t>0.0062</w:t>
            </w:r>
          </w:p>
        </w:tc>
      </w:tr>
      <w:tr w:rsidR="00315077" w:rsidRPr="00D75E5D" w14:paraId="7A987C71" w14:textId="77777777" w:rsidTr="00315077">
        <w:trPr>
          <w:trHeight w:val="300"/>
        </w:trPr>
        <w:tc>
          <w:tcPr>
            <w:tcW w:w="2003" w:type="pct"/>
            <w:tcBorders>
              <w:top w:val="nil"/>
              <w:left w:val="nil"/>
              <w:bottom w:val="nil"/>
              <w:right w:val="nil"/>
            </w:tcBorders>
            <w:shd w:val="clear" w:color="auto" w:fill="auto"/>
            <w:noWrap/>
            <w:vAlign w:val="bottom"/>
            <w:hideMark/>
          </w:tcPr>
          <w:p w14:paraId="2B3F6B53" w14:textId="77777777" w:rsidR="00315077" w:rsidRPr="00971912" w:rsidRDefault="00315077" w:rsidP="00315077">
            <w:pPr>
              <w:rPr>
                <w:color w:val="000000"/>
                <w:sz w:val="20"/>
                <w:szCs w:val="20"/>
              </w:rPr>
            </w:pPr>
            <w:r w:rsidRPr="00971912">
              <w:rPr>
                <w:color w:val="000000"/>
                <w:sz w:val="20"/>
                <w:szCs w:val="20"/>
              </w:rPr>
              <w:t>China State Construction Engineering Corporation</w:t>
            </w:r>
          </w:p>
        </w:tc>
        <w:tc>
          <w:tcPr>
            <w:tcW w:w="1455" w:type="pct"/>
            <w:tcBorders>
              <w:top w:val="nil"/>
              <w:left w:val="nil"/>
              <w:bottom w:val="nil"/>
              <w:right w:val="nil"/>
            </w:tcBorders>
            <w:vAlign w:val="bottom"/>
          </w:tcPr>
          <w:p w14:paraId="3B05082C" w14:textId="77777777" w:rsidR="00315077" w:rsidRPr="00971912" w:rsidRDefault="00315077" w:rsidP="00315077">
            <w:pPr>
              <w:rPr>
                <w:color w:val="000000"/>
                <w:sz w:val="20"/>
                <w:szCs w:val="20"/>
              </w:rPr>
            </w:pPr>
            <w:r w:rsidRPr="00971912">
              <w:rPr>
                <w:color w:val="000000"/>
                <w:sz w:val="20"/>
                <w:szCs w:val="20"/>
              </w:rPr>
              <w:t>Architecture and Engineering</w:t>
            </w:r>
          </w:p>
        </w:tc>
        <w:tc>
          <w:tcPr>
            <w:tcW w:w="639" w:type="pct"/>
            <w:tcBorders>
              <w:top w:val="nil"/>
              <w:left w:val="nil"/>
              <w:bottom w:val="nil"/>
              <w:right w:val="nil"/>
            </w:tcBorders>
            <w:shd w:val="clear" w:color="auto" w:fill="auto"/>
            <w:noWrap/>
            <w:vAlign w:val="bottom"/>
            <w:hideMark/>
          </w:tcPr>
          <w:p w14:paraId="4B176297"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5B2E1631" w14:textId="77777777" w:rsidR="00315077" w:rsidRPr="00971912" w:rsidRDefault="00315077" w:rsidP="00315077">
            <w:pPr>
              <w:jc w:val="right"/>
              <w:rPr>
                <w:color w:val="000000"/>
                <w:sz w:val="20"/>
                <w:szCs w:val="20"/>
              </w:rPr>
            </w:pPr>
            <w:r w:rsidRPr="00971912">
              <w:rPr>
                <w:color w:val="000000"/>
                <w:sz w:val="20"/>
                <w:szCs w:val="20"/>
              </w:rPr>
              <w:t>0.33</w:t>
            </w:r>
          </w:p>
        </w:tc>
        <w:tc>
          <w:tcPr>
            <w:tcW w:w="527" w:type="pct"/>
            <w:tcBorders>
              <w:top w:val="nil"/>
              <w:left w:val="nil"/>
              <w:bottom w:val="nil"/>
              <w:right w:val="nil"/>
            </w:tcBorders>
            <w:shd w:val="clear" w:color="auto" w:fill="auto"/>
            <w:noWrap/>
            <w:vAlign w:val="bottom"/>
            <w:hideMark/>
          </w:tcPr>
          <w:p w14:paraId="12163FC1" w14:textId="77777777" w:rsidR="00315077" w:rsidRPr="00971912" w:rsidRDefault="00315077" w:rsidP="00315077">
            <w:pPr>
              <w:jc w:val="right"/>
              <w:rPr>
                <w:color w:val="000000"/>
                <w:sz w:val="20"/>
                <w:szCs w:val="20"/>
              </w:rPr>
            </w:pPr>
            <w:r w:rsidRPr="00971912">
              <w:rPr>
                <w:color w:val="000000"/>
                <w:sz w:val="20"/>
                <w:szCs w:val="20"/>
              </w:rPr>
              <w:t>0.0045</w:t>
            </w:r>
          </w:p>
        </w:tc>
      </w:tr>
      <w:tr w:rsidR="00315077" w:rsidRPr="00D75E5D" w14:paraId="4E9FEC53" w14:textId="77777777" w:rsidTr="00315077">
        <w:trPr>
          <w:trHeight w:val="300"/>
        </w:trPr>
        <w:tc>
          <w:tcPr>
            <w:tcW w:w="2003" w:type="pct"/>
            <w:tcBorders>
              <w:top w:val="nil"/>
              <w:left w:val="nil"/>
              <w:bottom w:val="nil"/>
              <w:right w:val="nil"/>
            </w:tcBorders>
            <w:shd w:val="clear" w:color="auto" w:fill="auto"/>
            <w:noWrap/>
            <w:vAlign w:val="bottom"/>
            <w:hideMark/>
          </w:tcPr>
          <w:p w14:paraId="46EAF722" w14:textId="77777777" w:rsidR="00315077" w:rsidRPr="00971912" w:rsidRDefault="00315077" w:rsidP="00315077">
            <w:pPr>
              <w:rPr>
                <w:color w:val="000000"/>
                <w:sz w:val="20"/>
                <w:szCs w:val="20"/>
              </w:rPr>
            </w:pPr>
            <w:r w:rsidRPr="00971912">
              <w:rPr>
                <w:color w:val="000000"/>
                <w:sz w:val="20"/>
                <w:szCs w:val="20"/>
              </w:rPr>
              <w:t>National Development and Investment Corporation</w:t>
            </w:r>
          </w:p>
        </w:tc>
        <w:tc>
          <w:tcPr>
            <w:tcW w:w="1455" w:type="pct"/>
            <w:tcBorders>
              <w:top w:val="nil"/>
              <w:left w:val="nil"/>
              <w:bottom w:val="nil"/>
              <w:right w:val="nil"/>
            </w:tcBorders>
            <w:vAlign w:val="bottom"/>
          </w:tcPr>
          <w:p w14:paraId="3F17A566" w14:textId="77777777" w:rsidR="00315077" w:rsidRPr="00971912" w:rsidRDefault="00315077" w:rsidP="00315077">
            <w:pPr>
              <w:rPr>
                <w:color w:val="000000"/>
                <w:sz w:val="20"/>
                <w:szCs w:val="20"/>
              </w:rPr>
            </w:pPr>
            <w:r w:rsidRPr="00971912">
              <w:rPr>
                <w:color w:val="000000"/>
                <w:sz w:val="20"/>
                <w:szCs w:val="20"/>
              </w:rPr>
              <w:t>Comprehensive industry</w:t>
            </w:r>
          </w:p>
        </w:tc>
        <w:tc>
          <w:tcPr>
            <w:tcW w:w="639" w:type="pct"/>
            <w:tcBorders>
              <w:top w:val="nil"/>
              <w:left w:val="nil"/>
              <w:bottom w:val="nil"/>
              <w:right w:val="nil"/>
            </w:tcBorders>
            <w:shd w:val="clear" w:color="auto" w:fill="auto"/>
            <w:noWrap/>
            <w:vAlign w:val="bottom"/>
            <w:hideMark/>
          </w:tcPr>
          <w:p w14:paraId="09310FED"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3A3CB0B8" w14:textId="77777777" w:rsidR="00315077" w:rsidRPr="00971912" w:rsidRDefault="00315077" w:rsidP="00315077">
            <w:pPr>
              <w:jc w:val="right"/>
              <w:rPr>
                <w:color w:val="000000"/>
                <w:sz w:val="20"/>
                <w:szCs w:val="20"/>
              </w:rPr>
            </w:pPr>
            <w:r w:rsidRPr="00971912">
              <w:rPr>
                <w:color w:val="000000"/>
                <w:sz w:val="20"/>
                <w:szCs w:val="20"/>
              </w:rPr>
              <w:t>0.13</w:t>
            </w:r>
          </w:p>
        </w:tc>
        <w:tc>
          <w:tcPr>
            <w:tcW w:w="527" w:type="pct"/>
            <w:tcBorders>
              <w:top w:val="nil"/>
              <w:left w:val="nil"/>
              <w:bottom w:val="nil"/>
              <w:right w:val="nil"/>
            </w:tcBorders>
            <w:shd w:val="clear" w:color="auto" w:fill="auto"/>
            <w:noWrap/>
            <w:vAlign w:val="bottom"/>
            <w:hideMark/>
          </w:tcPr>
          <w:p w14:paraId="45545078" w14:textId="77777777" w:rsidR="00315077" w:rsidRPr="00971912" w:rsidRDefault="00315077" w:rsidP="00315077">
            <w:pPr>
              <w:jc w:val="right"/>
              <w:rPr>
                <w:color w:val="000000"/>
                <w:sz w:val="20"/>
                <w:szCs w:val="20"/>
              </w:rPr>
            </w:pPr>
            <w:r w:rsidRPr="00971912">
              <w:rPr>
                <w:color w:val="000000"/>
                <w:sz w:val="20"/>
                <w:szCs w:val="20"/>
              </w:rPr>
              <w:t>0.0093</w:t>
            </w:r>
          </w:p>
        </w:tc>
      </w:tr>
      <w:tr w:rsidR="00315077" w:rsidRPr="00D75E5D" w14:paraId="25FAAE4C" w14:textId="77777777" w:rsidTr="00315077">
        <w:trPr>
          <w:trHeight w:val="300"/>
        </w:trPr>
        <w:tc>
          <w:tcPr>
            <w:tcW w:w="2003" w:type="pct"/>
            <w:tcBorders>
              <w:top w:val="nil"/>
              <w:left w:val="nil"/>
              <w:bottom w:val="nil"/>
              <w:right w:val="nil"/>
            </w:tcBorders>
            <w:shd w:val="clear" w:color="auto" w:fill="auto"/>
            <w:noWrap/>
            <w:vAlign w:val="bottom"/>
            <w:hideMark/>
          </w:tcPr>
          <w:p w14:paraId="683A1919" w14:textId="77777777" w:rsidR="00315077" w:rsidRPr="00971912" w:rsidRDefault="00315077" w:rsidP="00315077">
            <w:pPr>
              <w:rPr>
                <w:color w:val="000000"/>
                <w:sz w:val="20"/>
                <w:szCs w:val="20"/>
              </w:rPr>
            </w:pPr>
            <w:r w:rsidRPr="00971912">
              <w:rPr>
                <w:color w:val="000000"/>
                <w:sz w:val="20"/>
                <w:szCs w:val="20"/>
              </w:rPr>
              <w:t>China Merchants Group Co., Ltd.</w:t>
            </w:r>
          </w:p>
        </w:tc>
        <w:tc>
          <w:tcPr>
            <w:tcW w:w="1455" w:type="pct"/>
            <w:tcBorders>
              <w:top w:val="nil"/>
              <w:left w:val="nil"/>
              <w:bottom w:val="nil"/>
              <w:right w:val="nil"/>
            </w:tcBorders>
            <w:vAlign w:val="bottom"/>
          </w:tcPr>
          <w:p w14:paraId="17E1B1F8" w14:textId="77777777" w:rsidR="00315077" w:rsidRPr="00971912" w:rsidRDefault="00315077" w:rsidP="00315077">
            <w:pPr>
              <w:rPr>
                <w:color w:val="000000"/>
                <w:sz w:val="20"/>
                <w:szCs w:val="20"/>
              </w:rPr>
            </w:pPr>
            <w:r w:rsidRPr="00971912">
              <w:rPr>
                <w:color w:val="000000"/>
                <w:sz w:val="20"/>
                <w:szCs w:val="20"/>
              </w:rPr>
              <w:t>Comprehensive industry</w:t>
            </w:r>
          </w:p>
        </w:tc>
        <w:tc>
          <w:tcPr>
            <w:tcW w:w="639" w:type="pct"/>
            <w:tcBorders>
              <w:top w:val="nil"/>
              <w:left w:val="nil"/>
              <w:bottom w:val="nil"/>
              <w:right w:val="nil"/>
            </w:tcBorders>
            <w:shd w:val="clear" w:color="auto" w:fill="auto"/>
            <w:noWrap/>
            <w:vAlign w:val="bottom"/>
            <w:hideMark/>
          </w:tcPr>
          <w:p w14:paraId="4875416C"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555BAD44" w14:textId="77777777" w:rsidR="00315077" w:rsidRPr="00971912" w:rsidRDefault="00315077" w:rsidP="00315077">
            <w:pPr>
              <w:jc w:val="right"/>
              <w:rPr>
                <w:color w:val="000000"/>
                <w:sz w:val="20"/>
                <w:szCs w:val="20"/>
              </w:rPr>
            </w:pPr>
            <w:r w:rsidRPr="00971912">
              <w:rPr>
                <w:color w:val="000000"/>
                <w:sz w:val="20"/>
                <w:szCs w:val="20"/>
              </w:rPr>
              <w:t>0.10</w:t>
            </w:r>
          </w:p>
        </w:tc>
        <w:tc>
          <w:tcPr>
            <w:tcW w:w="527" w:type="pct"/>
            <w:tcBorders>
              <w:top w:val="nil"/>
              <w:left w:val="nil"/>
              <w:bottom w:val="nil"/>
              <w:right w:val="nil"/>
            </w:tcBorders>
            <w:shd w:val="clear" w:color="auto" w:fill="auto"/>
            <w:noWrap/>
            <w:vAlign w:val="bottom"/>
            <w:hideMark/>
          </w:tcPr>
          <w:p w14:paraId="3912EC29" w14:textId="77777777" w:rsidR="00315077" w:rsidRPr="00971912" w:rsidRDefault="00315077" w:rsidP="00315077">
            <w:pPr>
              <w:jc w:val="right"/>
              <w:rPr>
                <w:color w:val="000000"/>
                <w:sz w:val="20"/>
                <w:szCs w:val="20"/>
              </w:rPr>
            </w:pPr>
            <w:r w:rsidRPr="00971912">
              <w:rPr>
                <w:color w:val="000000"/>
                <w:sz w:val="20"/>
                <w:szCs w:val="20"/>
              </w:rPr>
              <w:t>0.0057</w:t>
            </w:r>
          </w:p>
        </w:tc>
      </w:tr>
      <w:tr w:rsidR="00315077" w:rsidRPr="00D75E5D" w14:paraId="1D3F6AF8" w14:textId="77777777" w:rsidTr="00315077">
        <w:trPr>
          <w:trHeight w:val="300"/>
        </w:trPr>
        <w:tc>
          <w:tcPr>
            <w:tcW w:w="2003" w:type="pct"/>
            <w:tcBorders>
              <w:top w:val="nil"/>
              <w:left w:val="nil"/>
              <w:bottom w:val="nil"/>
              <w:right w:val="nil"/>
            </w:tcBorders>
            <w:shd w:val="clear" w:color="auto" w:fill="auto"/>
            <w:noWrap/>
            <w:vAlign w:val="bottom"/>
            <w:hideMark/>
          </w:tcPr>
          <w:p w14:paraId="1CFD6570" w14:textId="77777777" w:rsidR="00315077" w:rsidRPr="00971912" w:rsidRDefault="00315077" w:rsidP="00315077">
            <w:pPr>
              <w:rPr>
                <w:color w:val="000000"/>
                <w:sz w:val="20"/>
                <w:szCs w:val="20"/>
              </w:rPr>
            </w:pPr>
            <w:r w:rsidRPr="00971912">
              <w:rPr>
                <w:color w:val="000000"/>
                <w:sz w:val="20"/>
                <w:szCs w:val="20"/>
              </w:rPr>
              <w:t>China Resources (Group) Co., Ltd.</w:t>
            </w:r>
          </w:p>
        </w:tc>
        <w:tc>
          <w:tcPr>
            <w:tcW w:w="1455" w:type="pct"/>
            <w:tcBorders>
              <w:top w:val="nil"/>
              <w:left w:val="nil"/>
              <w:bottom w:val="nil"/>
              <w:right w:val="nil"/>
            </w:tcBorders>
            <w:vAlign w:val="bottom"/>
          </w:tcPr>
          <w:p w14:paraId="40294CA2" w14:textId="77777777" w:rsidR="00315077" w:rsidRPr="00971912" w:rsidRDefault="00315077" w:rsidP="00315077">
            <w:pPr>
              <w:rPr>
                <w:color w:val="000000"/>
                <w:sz w:val="20"/>
                <w:szCs w:val="20"/>
              </w:rPr>
            </w:pPr>
            <w:r w:rsidRPr="00971912">
              <w:rPr>
                <w:color w:val="000000"/>
                <w:sz w:val="20"/>
                <w:szCs w:val="20"/>
              </w:rPr>
              <w:t>Investment Holding and Property Lease</w:t>
            </w:r>
          </w:p>
        </w:tc>
        <w:tc>
          <w:tcPr>
            <w:tcW w:w="639" w:type="pct"/>
            <w:tcBorders>
              <w:top w:val="nil"/>
              <w:left w:val="nil"/>
              <w:bottom w:val="nil"/>
              <w:right w:val="nil"/>
            </w:tcBorders>
            <w:shd w:val="clear" w:color="auto" w:fill="auto"/>
            <w:noWrap/>
            <w:vAlign w:val="bottom"/>
            <w:hideMark/>
          </w:tcPr>
          <w:p w14:paraId="0B6DBF9E" w14:textId="77777777" w:rsidR="00315077" w:rsidRPr="00971912" w:rsidRDefault="00315077" w:rsidP="00315077">
            <w:pPr>
              <w:rPr>
                <w:color w:val="000000"/>
                <w:sz w:val="20"/>
                <w:szCs w:val="20"/>
              </w:rPr>
            </w:pPr>
            <w:r w:rsidRPr="00971912">
              <w:rPr>
                <w:color w:val="000000"/>
                <w:sz w:val="20"/>
                <w:szCs w:val="20"/>
              </w:rPr>
              <w:t>2003-2017</w:t>
            </w:r>
          </w:p>
        </w:tc>
        <w:tc>
          <w:tcPr>
            <w:tcW w:w="376" w:type="pct"/>
            <w:tcBorders>
              <w:top w:val="nil"/>
              <w:left w:val="nil"/>
              <w:bottom w:val="nil"/>
              <w:right w:val="nil"/>
            </w:tcBorders>
            <w:shd w:val="clear" w:color="auto" w:fill="auto"/>
            <w:noWrap/>
            <w:vAlign w:val="bottom"/>
            <w:hideMark/>
          </w:tcPr>
          <w:p w14:paraId="0C5CBEEF" w14:textId="77777777" w:rsidR="00315077" w:rsidRPr="00971912" w:rsidRDefault="00315077" w:rsidP="00315077">
            <w:pPr>
              <w:jc w:val="right"/>
              <w:rPr>
                <w:color w:val="000000"/>
                <w:sz w:val="20"/>
                <w:szCs w:val="20"/>
              </w:rPr>
            </w:pPr>
            <w:r w:rsidRPr="00971912">
              <w:rPr>
                <w:color w:val="000000"/>
                <w:sz w:val="20"/>
                <w:szCs w:val="20"/>
              </w:rPr>
              <w:t>0.44</w:t>
            </w:r>
          </w:p>
        </w:tc>
        <w:tc>
          <w:tcPr>
            <w:tcW w:w="527" w:type="pct"/>
            <w:tcBorders>
              <w:top w:val="nil"/>
              <w:left w:val="nil"/>
              <w:bottom w:val="nil"/>
              <w:right w:val="nil"/>
            </w:tcBorders>
            <w:shd w:val="clear" w:color="auto" w:fill="auto"/>
            <w:noWrap/>
            <w:vAlign w:val="bottom"/>
            <w:hideMark/>
          </w:tcPr>
          <w:p w14:paraId="5D158295" w14:textId="77777777" w:rsidR="00315077" w:rsidRPr="00971912" w:rsidRDefault="00315077" w:rsidP="00315077">
            <w:pPr>
              <w:jc w:val="right"/>
              <w:rPr>
                <w:color w:val="000000"/>
                <w:sz w:val="20"/>
                <w:szCs w:val="20"/>
              </w:rPr>
            </w:pPr>
            <w:r w:rsidRPr="00971912">
              <w:rPr>
                <w:color w:val="000000"/>
                <w:sz w:val="20"/>
                <w:szCs w:val="20"/>
              </w:rPr>
              <w:t>-0.0140</w:t>
            </w:r>
          </w:p>
        </w:tc>
      </w:tr>
      <w:tr w:rsidR="00315077" w:rsidRPr="00D75E5D" w14:paraId="6A93B5A4" w14:textId="77777777" w:rsidTr="00315077">
        <w:trPr>
          <w:trHeight w:val="300"/>
        </w:trPr>
        <w:tc>
          <w:tcPr>
            <w:tcW w:w="2003" w:type="pct"/>
            <w:tcBorders>
              <w:top w:val="nil"/>
              <w:left w:val="nil"/>
              <w:bottom w:val="nil"/>
              <w:right w:val="nil"/>
            </w:tcBorders>
            <w:shd w:val="clear" w:color="auto" w:fill="auto"/>
            <w:noWrap/>
            <w:vAlign w:val="bottom"/>
            <w:hideMark/>
          </w:tcPr>
          <w:p w14:paraId="24F76198" w14:textId="77777777" w:rsidR="00315077" w:rsidRPr="00971912" w:rsidRDefault="00315077" w:rsidP="00315077">
            <w:pPr>
              <w:rPr>
                <w:color w:val="000000"/>
                <w:sz w:val="20"/>
                <w:szCs w:val="20"/>
              </w:rPr>
            </w:pPr>
            <w:r w:rsidRPr="00971912">
              <w:rPr>
                <w:color w:val="000000"/>
                <w:sz w:val="20"/>
                <w:szCs w:val="20"/>
              </w:rPr>
              <w:t>China Hong Kong China Travel Service Corporation</w:t>
            </w:r>
          </w:p>
        </w:tc>
        <w:tc>
          <w:tcPr>
            <w:tcW w:w="1455" w:type="pct"/>
            <w:tcBorders>
              <w:top w:val="nil"/>
              <w:left w:val="nil"/>
              <w:bottom w:val="nil"/>
              <w:right w:val="nil"/>
            </w:tcBorders>
            <w:vAlign w:val="bottom"/>
          </w:tcPr>
          <w:p w14:paraId="4167D238" w14:textId="77777777" w:rsidR="00315077" w:rsidRPr="00971912" w:rsidRDefault="00315077" w:rsidP="00315077">
            <w:pPr>
              <w:rPr>
                <w:color w:val="000000"/>
                <w:sz w:val="20"/>
                <w:szCs w:val="20"/>
              </w:rPr>
            </w:pPr>
            <w:r w:rsidRPr="00971912">
              <w:rPr>
                <w:color w:val="000000"/>
                <w:sz w:val="20"/>
                <w:szCs w:val="20"/>
              </w:rPr>
              <w:t>Hotels, resorts and luxury cruise ships</w:t>
            </w:r>
          </w:p>
        </w:tc>
        <w:tc>
          <w:tcPr>
            <w:tcW w:w="639" w:type="pct"/>
            <w:tcBorders>
              <w:top w:val="nil"/>
              <w:left w:val="nil"/>
              <w:bottom w:val="nil"/>
              <w:right w:val="nil"/>
            </w:tcBorders>
            <w:shd w:val="clear" w:color="auto" w:fill="auto"/>
            <w:noWrap/>
            <w:vAlign w:val="bottom"/>
            <w:hideMark/>
          </w:tcPr>
          <w:p w14:paraId="46F88B8E" w14:textId="77777777" w:rsidR="00315077" w:rsidRPr="00971912" w:rsidRDefault="00315077" w:rsidP="00315077">
            <w:pPr>
              <w:rPr>
                <w:color w:val="000000"/>
                <w:sz w:val="20"/>
                <w:szCs w:val="20"/>
              </w:rPr>
            </w:pPr>
            <w:r w:rsidRPr="00971912">
              <w:rPr>
                <w:color w:val="000000"/>
                <w:sz w:val="20"/>
                <w:szCs w:val="20"/>
              </w:rPr>
              <w:t>2003-2016</w:t>
            </w:r>
          </w:p>
        </w:tc>
        <w:tc>
          <w:tcPr>
            <w:tcW w:w="376" w:type="pct"/>
            <w:tcBorders>
              <w:top w:val="nil"/>
              <w:left w:val="nil"/>
              <w:bottom w:val="nil"/>
              <w:right w:val="nil"/>
            </w:tcBorders>
            <w:shd w:val="clear" w:color="auto" w:fill="auto"/>
            <w:noWrap/>
            <w:vAlign w:val="bottom"/>
            <w:hideMark/>
          </w:tcPr>
          <w:p w14:paraId="480E9EED" w14:textId="77777777" w:rsidR="00315077" w:rsidRPr="00971912" w:rsidRDefault="00315077" w:rsidP="00315077">
            <w:pPr>
              <w:jc w:val="right"/>
              <w:rPr>
                <w:color w:val="000000"/>
                <w:sz w:val="20"/>
                <w:szCs w:val="20"/>
              </w:rPr>
            </w:pPr>
            <w:r w:rsidRPr="00971912">
              <w:rPr>
                <w:color w:val="000000"/>
                <w:sz w:val="20"/>
                <w:szCs w:val="20"/>
              </w:rPr>
              <w:t>0.46</w:t>
            </w:r>
          </w:p>
        </w:tc>
        <w:tc>
          <w:tcPr>
            <w:tcW w:w="527" w:type="pct"/>
            <w:tcBorders>
              <w:top w:val="nil"/>
              <w:left w:val="nil"/>
              <w:bottom w:val="nil"/>
              <w:right w:val="nil"/>
            </w:tcBorders>
            <w:shd w:val="clear" w:color="auto" w:fill="auto"/>
            <w:noWrap/>
            <w:vAlign w:val="bottom"/>
            <w:hideMark/>
          </w:tcPr>
          <w:p w14:paraId="73F3C9DA" w14:textId="77777777" w:rsidR="00315077" w:rsidRPr="00971912" w:rsidRDefault="00315077" w:rsidP="00315077">
            <w:pPr>
              <w:jc w:val="right"/>
              <w:rPr>
                <w:color w:val="000000"/>
                <w:sz w:val="20"/>
                <w:szCs w:val="20"/>
              </w:rPr>
            </w:pPr>
            <w:r w:rsidRPr="00971912">
              <w:rPr>
                <w:color w:val="000000"/>
                <w:sz w:val="20"/>
                <w:szCs w:val="20"/>
              </w:rPr>
              <w:t>-0.0466</w:t>
            </w:r>
          </w:p>
        </w:tc>
      </w:tr>
      <w:tr w:rsidR="00315077" w:rsidRPr="00D75E5D" w14:paraId="70A2EFEC" w14:textId="77777777" w:rsidTr="00315077">
        <w:trPr>
          <w:trHeight w:val="300"/>
        </w:trPr>
        <w:tc>
          <w:tcPr>
            <w:tcW w:w="2003" w:type="pct"/>
            <w:tcBorders>
              <w:top w:val="nil"/>
              <w:left w:val="nil"/>
              <w:bottom w:val="nil"/>
              <w:right w:val="nil"/>
            </w:tcBorders>
            <w:shd w:val="clear" w:color="auto" w:fill="auto"/>
            <w:noWrap/>
            <w:vAlign w:val="bottom"/>
            <w:hideMark/>
          </w:tcPr>
          <w:p w14:paraId="3FAC41C0" w14:textId="77777777" w:rsidR="00315077" w:rsidRPr="00971912" w:rsidRDefault="00315077" w:rsidP="00315077">
            <w:pPr>
              <w:rPr>
                <w:color w:val="000000"/>
                <w:sz w:val="20"/>
                <w:szCs w:val="20"/>
              </w:rPr>
            </w:pPr>
            <w:r w:rsidRPr="00971912">
              <w:rPr>
                <w:color w:val="000000"/>
                <w:sz w:val="20"/>
                <w:szCs w:val="20"/>
              </w:rPr>
              <w:t>National Nuclear Power Technology Corporation</w:t>
            </w:r>
          </w:p>
        </w:tc>
        <w:tc>
          <w:tcPr>
            <w:tcW w:w="1455" w:type="pct"/>
            <w:tcBorders>
              <w:top w:val="nil"/>
              <w:left w:val="nil"/>
              <w:bottom w:val="nil"/>
              <w:right w:val="nil"/>
            </w:tcBorders>
            <w:vAlign w:val="bottom"/>
          </w:tcPr>
          <w:p w14:paraId="4E632F2D" w14:textId="77777777" w:rsidR="00315077" w:rsidRPr="00971912" w:rsidRDefault="00315077" w:rsidP="00315077">
            <w:pPr>
              <w:rPr>
                <w:color w:val="000000"/>
                <w:sz w:val="20"/>
                <w:szCs w:val="20"/>
              </w:rPr>
            </w:pPr>
            <w:r w:rsidRPr="00971912">
              <w:rPr>
                <w:color w:val="000000"/>
                <w:sz w:val="20"/>
                <w:szCs w:val="20"/>
              </w:rPr>
              <w:t>Electricity</w:t>
            </w:r>
          </w:p>
        </w:tc>
        <w:tc>
          <w:tcPr>
            <w:tcW w:w="639" w:type="pct"/>
            <w:tcBorders>
              <w:top w:val="nil"/>
              <w:left w:val="nil"/>
              <w:bottom w:val="nil"/>
              <w:right w:val="nil"/>
            </w:tcBorders>
            <w:shd w:val="clear" w:color="auto" w:fill="auto"/>
            <w:noWrap/>
            <w:vAlign w:val="bottom"/>
            <w:hideMark/>
          </w:tcPr>
          <w:p w14:paraId="4E15B5AD" w14:textId="77777777" w:rsidR="00315077" w:rsidRPr="00971912" w:rsidRDefault="00315077" w:rsidP="00315077">
            <w:pPr>
              <w:rPr>
                <w:color w:val="000000"/>
                <w:sz w:val="20"/>
                <w:szCs w:val="20"/>
              </w:rPr>
            </w:pPr>
            <w:r w:rsidRPr="00971912">
              <w:rPr>
                <w:color w:val="000000"/>
                <w:sz w:val="20"/>
                <w:szCs w:val="20"/>
              </w:rPr>
              <w:t>2007-2015</w:t>
            </w:r>
          </w:p>
        </w:tc>
        <w:tc>
          <w:tcPr>
            <w:tcW w:w="376" w:type="pct"/>
            <w:tcBorders>
              <w:top w:val="nil"/>
              <w:left w:val="nil"/>
              <w:bottom w:val="nil"/>
              <w:right w:val="nil"/>
            </w:tcBorders>
            <w:shd w:val="clear" w:color="auto" w:fill="auto"/>
            <w:noWrap/>
            <w:vAlign w:val="bottom"/>
            <w:hideMark/>
          </w:tcPr>
          <w:p w14:paraId="31E79001" w14:textId="77777777" w:rsidR="00315077" w:rsidRPr="00971912" w:rsidRDefault="00315077" w:rsidP="00315077">
            <w:pPr>
              <w:jc w:val="right"/>
              <w:rPr>
                <w:color w:val="000000"/>
                <w:sz w:val="20"/>
                <w:szCs w:val="20"/>
              </w:rPr>
            </w:pPr>
            <w:r w:rsidRPr="00971912">
              <w:rPr>
                <w:color w:val="000000"/>
                <w:sz w:val="20"/>
                <w:szCs w:val="20"/>
              </w:rPr>
              <w:t>0.59</w:t>
            </w:r>
          </w:p>
        </w:tc>
        <w:tc>
          <w:tcPr>
            <w:tcW w:w="527" w:type="pct"/>
            <w:tcBorders>
              <w:top w:val="nil"/>
              <w:left w:val="nil"/>
              <w:bottom w:val="nil"/>
              <w:right w:val="nil"/>
            </w:tcBorders>
            <w:shd w:val="clear" w:color="auto" w:fill="auto"/>
            <w:noWrap/>
            <w:vAlign w:val="bottom"/>
            <w:hideMark/>
          </w:tcPr>
          <w:p w14:paraId="1B8C4E42" w14:textId="77777777" w:rsidR="00315077" w:rsidRPr="00971912" w:rsidRDefault="00315077" w:rsidP="00315077">
            <w:pPr>
              <w:jc w:val="right"/>
              <w:rPr>
                <w:color w:val="000000"/>
                <w:sz w:val="20"/>
                <w:szCs w:val="20"/>
              </w:rPr>
            </w:pPr>
            <w:r w:rsidRPr="00971912">
              <w:rPr>
                <w:color w:val="000000"/>
                <w:sz w:val="20"/>
                <w:szCs w:val="20"/>
              </w:rPr>
              <w:t>-0.4498</w:t>
            </w:r>
          </w:p>
        </w:tc>
      </w:tr>
      <w:tr w:rsidR="00315077" w:rsidRPr="00D75E5D" w14:paraId="7BE5E982" w14:textId="77777777" w:rsidTr="00315077">
        <w:trPr>
          <w:trHeight w:val="300"/>
        </w:trPr>
        <w:tc>
          <w:tcPr>
            <w:tcW w:w="2003" w:type="pct"/>
            <w:tcBorders>
              <w:top w:val="nil"/>
              <w:left w:val="nil"/>
              <w:bottom w:val="nil"/>
              <w:right w:val="nil"/>
            </w:tcBorders>
            <w:shd w:val="clear" w:color="auto" w:fill="auto"/>
            <w:noWrap/>
            <w:vAlign w:val="bottom"/>
            <w:hideMark/>
          </w:tcPr>
          <w:p w14:paraId="35DB288C" w14:textId="77777777" w:rsidR="00315077" w:rsidRPr="00971912" w:rsidRDefault="00315077" w:rsidP="00315077">
            <w:pPr>
              <w:rPr>
                <w:color w:val="000000"/>
                <w:sz w:val="20"/>
                <w:szCs w:val="20"/>
              </w:rPr>
            </w:pPr>
            <w:r w:rsidRPr="00971912">
              <w:rPr>
                <w:color w:val="000000"/>
                <w:sz w:val="20"/>
                <w:szCs w:val="20"/>
              </w:rPr>
              <w:t>Commercial Aircraft Corporation of China Limited***</w:t>
            </w:r>
          </w:p>
        </w:tc>
        <w:tc>
          <w:tcPr>
            <w:tcW w:w="1455" w:type="pct"/>
            <w:tcBorders>
              <w:top w:val="nil"/>
              <w:left w:val="nil"/>
              <w:bottom w:val="nil"/>
              <w:right w:val="nil"/>
            </w:tcBorders>
            <w:vAlign w:val="bottom"/>
          </w:tcPr>
          <w:p w14:paraId="33AF476B" w14:textId="77777777" w:rsidR="00315077" w:rsidRPr="00971912" w:rsidRDefault="00315077" w:rsidP="00315077">
            <w:pPr>
              <w:rPr>
                <w:color w:val="000000"/>
                <w:sz w:val="20"/>
                <w:szCs w:val="20"/>
              </w:rPr>
            </w:pPr>
            <w:r w:rsidRPr="00971912">
              <w:rPr>
                <w:color w:val="000000"/>
                <w:sz w:val="20"/>
                <w:szCs w:val="20"/>
              </w:rPr>
              <w:t>Aerospace and Defense</w:t>
            </w:r>
          </w:p>
        </w:tc>
        <w:tc>
          <w:tcPr>
            <w:tcW w:w="1015" w:type="pct"/>
            <w:gridSpan w:val="2"/>
            <w:tcBorders>
              <w:top w:val="nil"/>
              <w:left w:val="nil"/>
              <w:bottom w:val="nil"/>
              <w:right w:val="nil"/>
            </w:tcBorders>
            <w:shd w:val="clear" w:color="auto" w:fill="auto"/>
            <w:noWrap/>
            <w:vAlign w:val="bottom"/>
            <w:hideMark/>
          </w:tcPr>
          <w:p w14:paraId="6653B56D" w14:textId="77777777" w:rsidR="00315077" w:rsidRPr="00971912" w:rsidRDefault="00315077" w:rsidP="00315077">
            <w:pPr>
              <w:rPr>
                <w:color w:val="000000"/>
                <w:sz w:val="20"/>
                <w:szCs w:val="20"/>
              </w:rPr>
            </w:pPr>
            <w:r w:rsidRPr="00971912">
              <w:rPr>
                <w:color w:val="000000"/>
                <w:sz w:val="20"/>
                <w:szCs w:val="20"/>
              </w:rPr>
              <w:t>2008-2017</w:t>
            </w:r>
          </w:p>
        </w:tc>
        <w:tc>
          <w:tcPr>
            <w:tcW w:w="527" w:type="pct"/>
            <w:tcBorders>
              <w:top w:val="nil"/>
              <w:left w:val="nil"/>
              <w:bottom w:val="nil"/>
              <w:right w:val="nil"/>
            </w:tcBorders>
            <w:shd w:val="clear" w:color="auto" w:fill="auto"/>
            <w:noWrap/>
            <w:vAlign w:val="bottom"/>
            <w:hideMark/>
          </w:tcPr>
          <w:p w14:paraId="34640378" w14:textId="77777777" w:rsidR="00315077" w:rsidRPr="00971912" w:rsidRDefault="00315077" w:rsidP="00315077">
            <w:pPr>
              <w:rPr>
                <w:color w:val="000000"/>
                <w:sz w:val="20"/>
                <w:szCs w:val="20"/>
              </w:rPr>
            </w:pPr>
          </w:p>
        </w:tc>
      </w:tr>
      <w:tr w:rsidR="00315077" w:rsidRPr="00D75E5D" w14:paraId="49037AB1" w14:textId="77777777" w:rsidTr="00315077">
        <w:trPr>
          <w:trHeight w:val="300"/>
        </w:trPr>
        <w:tc>
          <w:tcPr>
            <w:tcW w:w="2003" w:type="pct"/>
            <w:tcBorders>
              <w:top w:val="nil"/>
              <w:left w:val="nil"/>
              <w:bottom w:val="nil"/>
              <w:right w:val="nil"/>
            </w:tcBorders>
            <w:shd w:val="clear" w:color="auto" w:fill="auto"/>
            <w:noWrap/>
            <w:vAlign w:val="bottom"/>
            <w:hideMark/>
          </w:tcPr>
          <w:p w14:paraId="3E3C150A" w14:textId="77777777" w:rsidR="00315077" w:rsidRPr="00971912" w:rsidRDefault="00315077" w:rsidP="00315077">
            <w:pPr>
              <w:rPr>
                <w:color w:val="000000"/>
                <w:sz w:val="20"/>
                <w:szCs w:val="20"/>
              </w:rPr>
            </w:pPr>
            <w:r w:rsidRPr="00971912">
              <w:rPr>
                <w:color w:val="000000"/>
                <w:sz w:val="20"/>
                <w:szCs w:val="20"/>
              </w:rPr>
              <w:t>China Grain Reserve Management Corporation***</w:t>
            </w:r>
          </w:p>
        </w:tc>
        <w:tc>
          <w:tcPr>
            <w:tcW w:w="1455" w:type="pct"/>
            <w:tcBorders>
              <w:top w:val="nil"/>
              <w:left w:val="nil"/>
              <w:bottom w:val="nil"/>
              <w:right w:val="nil"/>
            </w:tcBorders>
            <w:vAlign w:val="bottom"/>
          </w:tcPr>
          <w:p w14:paraId="2200015E" w14:textId="77777777" w:rsidR="00315077" w:rsidRPr="00971912" w:rsidRDefault="00315077" w:rsidP="00315077">
            <w:pPr>
              <w:rPr>
                <w:color w:val="000000"/>
                <w:sz w:val="20"/>
                <w:szCs w:val="20"/>
              </w:rPr>
            </w:pPr>
            <w:r w:rsidRPr="00971912">
              <w:rPr>
                <w:color w:val="000000"/>
                <w:sz w:val="20"/>
                <w:szCs w:val="20"/>
              </w:rPr>
              <w:t>Comprehensive industry</w:t>
            </w:r>
          </w:p>
        </w:tc>
        <w:tc>
          <w:tcPr>
            <w:tcW w:w="1015" w:type="pct"/>
            <w:gridSpan w:val="2"/>
            <w:tcBorders>
              <w:top w:val="nil"/>
              <w:left w:val="nil"/>
              <w:bottom w:val="nil"/>
              <w:right w:val="nil"/>
            </w:tcBorders>
            <w:shd w:val="clear" w:color="auto" w:fill="auto"/>
            <w:noWrap/>
            <w:vAlign w:val="bottom"/>
            <w:hideMark/>
          </w:tcPr>
          <w:p w14:paraId="754139BA" w14:textId="77777777" w:rsidR="00315077" w:rsidRPr="00971912" w:rsidRDefault="00315077" w:rsidP="00315077">
            <w:pPr>
              <w:rPr>
                <w:color w:val="000000"/>
                <w:sz w:val="20"/>
                <w:szCs w:val="20"/>
              </w:rPr>
            </w:pPr>
            <w:r w:rsidRPr="00971912">
              <w:rPr>
                <w:color w:val="000000"/>
                <w:sz w:val="20"/>
                <w:szCs w:val="20"/>
              </w:rPr>
              <w:t>2004-2016</w:t>
            </w:r>
          </w:p>
        </w:tc>
        <w:tc>
          <w:tcPr>
            <w:tcW w:w="527" w:type="pct"/>
            <w:tcBorders>
              <w:top w:val="nil"/>
              <w:left w:val="nil"/>
              <w:bottom w:val="nil"/>
              <w:right w:val="nil"/>
            </w:tcBorders>
            <w:shd w:val="clear" w:color="auto" w:fill="auto"/>
            <w:noWrap/>
            <w:vAlign w:val="bottom"/>
            <w:hideMark/>
          </w:tcPr>
          <w:p w14:paraId="625098D1" w14:textId="77777777" w:rsidR="00315077" w:rsidRPr="00971912" w:rsidRDefault="00315077" w:rsidP="00315077">
            <w:pPr>
              <w:rPr>
                <w:color w:val="000000"/>
                <w:sz w:val="20"/>
                <w:szCs w:val="20"/>
              </w:rPr>
            </w:pPr>
          </w:p>
        </w:tc>
      </w:tr>
      <w:tr w:rsidR="00315077" w:rsidRPr="00D75E5D" w14:paraId="10373AD5" w14:textId="77777777" w:rsidTr="00315077">
        <w:trPr>
          <w:trHeight w:val="300"/>
        </w:trPr>
        <w:tc>
          <w:tcPr>
            <w:tcW w:w="2003" w:type="pct"/>
            <w:tcBorders>
              <w:top w:val="nil"/>
              <w:left w:val="nil"/>
              <w:bottom w:val="nil"/>
              <w:right w:val="nil"/>
            </w:tcBorders>
            <w:shd w:val="clear" w:color="auto" w:fill="auto"/>
            <w:noWrap/>
            <w:vAlign w:val="bottom"/>
            <w:hideMark/>
          </w:tcPr>
          <w:p w14:paraId="2586C04E" w14:textId="77777777" w:rsidR="00315077" w:rsidRPr="00971912" w:rsidRDefault="00315077" w:rsidP="00315077">
            <w:pPr>
              <w:rPr>
                <w:color w:val="000000"/>
                <w:sz w:val="20"/>
                <w:szCs w:val="20"/>
              </w:rPr>
            </w:pPr>
            <w:r w:rsidRPr="00971912">
              <w:rPr>
                <w:color w:val="000000"/>
                <w:sz w:val="20"/>
                <w:szCs w:val="20"/>
              </w:rPr>
              <w:t>China Second Heavy Machinery Group Corporation***</w:t>
            </w:r>
          </w:p>
        </w:tc>
        <w:tc>
          <w:tcPr>
            <w:tcW w:w="1455" w:type="pct"/>
            <w:tcBorders>
              <w:top w:val="nil"/>
              <w:left w:val="nil"/>
              <w:bottom w:val="nil"/>
              <w:right w:val="nil"/>
            </w:tcBorders>
            <w:vAlign w:val="bottom"/>
          </w:tcPr>
          <w:p w14:paraId="3D8C284F" w14:textId="77777777" w:rsidR="00315077" w:rsidRPr="00971912" w:rsidRDefault="00315077" w:rsidP="00315077">
            <w:pPr>
              <w:rPr>
                <w:color w:val="000000"/>
                <w:sz w:val="20"/>
                <w:szCs w:val="20"/>
              </w:rPr>
            </w:pPr>
            <w:r w:rsidRPr="00971912">
              <w:rPr>
                <w:color w:val="000000"/>
                <w:sz w:val="20"/>
                <w:szCs w:val="20"/>
              </w:rPr>
              <w:t>Industrial Machinery</w:t>
            </w:r>
          </w:p>
        </w:tc>
        <w:tc>
          <w:tcPr>
            <w:tcW w:w="1015" w:type="pct"/>
            <w:gridSpan w:val="2"/>
            <w:tcBorders>
              <w:top w:val="nil"/>
              <w:left w:val="nil"/>
              <w:bottom w:val="nil"/>
              <w:right w:val="nil"/>
            </w:tcBorders>
            <w:shd w:val="clear" w:color="auto" w:fill="auto"/>
            <w:noWrap/>
            <w:vAlign w:val="bottom"/>
            <w:hideMark/>
          </w:tcPr>
          <w:p w14:paraId="44F32C7A" w14:textId="77777777" w:rsidR="00315077" w:rsidRPr="00971912" w:rsidRDefault="00315077" w:rsidP="00315077">
            <w:pPr>
              <w:rPr>
                <w:color w:val="000000"/>
                <w:sz w:val="20"/>
                <w:szCs w:val="20"/>
              </w:rPr>
            </w:pPr>
            <w:r w:rsidRPr="00971912">
              <w:rPr>
                <w:color w:val="000000"/>
                <w:sz w:val="20"/>
                <w:szCs w:val="20"/>
              </w:rPr>
              <w:t>2003-2013</w:t>
            </w:r>
          </w:p>
        </w:tc>
        <w:tc>
          <w:tcPr>
            <w:tcW w:w="527" w:type="pct"/>
            <w:tcBorders>
              <w:top w:val="nil"/>
              <w:left w:val="nil"/>
              <w:bottom w:val="nil"/>
              <w:right w:val="nil"/>
            </w:tcBorders>
            <w:shd w:val="clear" w:color="auto" w:fill="auto"/>
            <w:noWrap/>
            <w:vAlign w:val="bottom"/>
            <w:hideMark/>
          </w:tcPr>
          <w:p w14:paraId="3FFE0CA0" w14:textId="77777777" w:rsidR="00315077" w:rsidRPr="00971912" w:rsidRDefault="00315077" w:rsidP="00315077">
            <w:pPr>
              <w:rPr>
                <w:color w:val="000000"/>
                <w:sz w:val="20"/>
                <w:szCs w:val="20"/>
              </w:rPr>
            </w:pPr>
          </w:p>
        </w:tc>
      </w:tr>
    </w:tbl>
    <w:p w14:paraId="31D8B5A7" w14:textId="77777777" w:rsidR="00315077" w:rsidRDefault="00315077" w:rsidP="00315077">
      <w:pPr>
        <w:rPr>
          <w:rFonts w:eastAsia="SimSun"/>
          <w:sz w:val="20"/>
          <w:szCs w:val="20"/>
        </w:rPr>
      </w:pPr>
    </w:p>
    <w:p w14:paraId="61BD8AF4" w14:textId="77777777" w:rsidR="00315077" w:rsidRPr="00D75E5D" w:rsidRDefault="00315077" w:rsidP="00315077">
      <w:pPr>
        <w:rPr>
          <w:rFonts w:eastAsia="SimSun"/>
          <w:sz w:val="20"/>
          <w:szCs w:val="20"/>
        </w:rPr>
      </w:pPr>
      <w:r w:rsidRPr="00971912">
        <w:rPr>
          <w:rFonts w:eastAsia="SimSun"/>
          <w:sz w:val="20"/>
          <w:szCs w:val="20"/>
        </w:rPr>
        <w:t>*</w:t>
      </w:r>
      <w:r w:rsidRPr="00D75E5D">
        <w:rPr>
          <w:rFonts w:eastAsia="SimSun"/>
          <w:sz w:val="20"/>
          <w:szCs w:val="20"/>
        </w:rPr>
        <w:t xml:space="preserve"> WIND industry coding of largest subsidiary</w:t>
      </w:r>
    </w:p>
    <w:p w14:paraId="3F8890D3" w14:textId="77777777" w:rsidR="00315077" w:rsidRPr="00D75E5D" w:rsidRDefault="00315077" w:rsidP="00315077">
      <w:pPr>
        <w:rPr>
          <w:rFonts w:eastAsia="SimSun"/>
          <w:sz w:val="20"/>
          <w:szCs w:val="20"/>
        </w:rPr>
      </w:pPr>
      <w:r w:rsidRPr="00D75E5D">
        <w:rPr>
          <w:rFonts w:eastAsia="SimSun"/>
          <w:sz w:val="20"/>
          <w:szCs w:val="20"/>
        </w:rPr>
        <w:t>** ROA refers to the ROA of the largest listed subsidiary. Amount listed is averaged over the years in the sample</w:t>
      </w:r>
    </w:p>
    <w:p w14:paraId="7528D4DA" w14:textId="77777777" w:rsidR="00315077" w:rsidRPr="00971912" w:rsidRDefault="00315077" w:rsidP="00315077">
      <w:pPr>
        <w:pStyle w:val="ListParagraph"/>
        <w:spacing w:after="0" w:line="240" w:lineRule="auto"/>
        <w:ind w:left="0"/>
        <w:rPr>
          <w:rFonts w:ascii="Times New Roman" w:eastAsia="SimSun" w:hAnsi="Times New Roman" w:cs="Times New Roman"/>
          <w:sz w:val="20"/>
          <w:szCs w:val="20"/>
        </w:rPr>
      </w:pPr>
      <w:r w:rsidRPr="00971912">
        <w:rPr>
          <w:rFonts w:ascii="Times New Roman" w:eastAsia="SimSun" w:hAnsi="Times New Roman" w:cs="Times New Roman"/>
          <w:sz w:val="20"/>
          <w:szCs w:val="20"/>
        </w:rPr>
        <w:t>***Firms excluded from the analysis because of data availability.</w:t>
      </w:r>
    </w:p>
    <w:p w14:paraId="3A7AA61B" w14:textId="77777777" w:rsidR="00315077" w:rsidRDefault="00315077" w:rsidP="00315077">
      <w:pPr>
        <w:spacing w:after="160" w:line="259" w:lineRule="auto"/>
        <w:rPr>
          <w:rFonts w:eastAsia="SimSun"/>
        </w:rPr>
        <w:sectPr w:rsidR="00315077" w:rsidSect="00315077">
          <w:pgSz w:w="15840" w:h="12240" w:orient="landscape"/>
          <w:pgMar w:top="1440" w:right="1440" w:bottom="1440" w:left="1440" w:header="720" w:footer="720" w:gutter="0"/>
          <w:cols w:space="720"/>
          <w:docGrid w:linePitch="360"/>
        </w:sectPr>
      </w:pPr>
    </w:p>
    <w:p w14:paraId="44A82763" w14:textId="707B14A4" w:rsidR="00315077" w:rsidRPr="00127C2E" w:rsidRDefault="00315077" w:rsidP="00127C2E">
      <w:pPr>
        <w:pStyle w:val="ListParagraph"/>
        <w:spacing w:line="480" w:lineRule="auto"/>
        <w:ind w:left="0"/>
        <w:jc w:val="center"/>
        <w:rPr>
          <w:rFonts w:ascii="Times New Roman" w:eastAsia="SimSun" w:hAnsi="Times New Roman" w:cs="Times New Roman"/>
          <w:b/>
          <w:bCs/>
          <w:sz w:val="24"/>
          <w:szCs w:val="24"/>
        </w:rPr>
      </w:pPr>
      <w:r w:rsidRPr="00127C2E">
        <w:rPr>
          <w:rFonts w:ascii="Times New Roman" w:eastAsia="SimSun" w:hAnsi="Times New Roman" w:cs="Times New Roman"/>
          <w:b/>
          <w:bCs/>
          <w:sz w:val="24"/>
          <w:szCs w:val="24"/>
        </w:rPr>
        <w:lastRenderedPageBreak/>
        <w:t>Table A2</w:t>
      </w:r>
      <w:r w:rsidR="00127C2E" w:rsidRPr="00127C2E">
        <w:rPr>
          <w:rFonts w:ascii="Times New Roman" w:eastAsia="SimSun" w:hAnsi="Times New Roman" w:cs="Times New Roman"/>
          <w:b/>
          <w:bCs/>
          <w:sz w:val="24"/>
          <w:szCs w:val="24"/>
        </w:rPr>
        <w:t xml:space="preserve">: </w:t>
      </w:r>
      <w:r w:rsidRPr="00127C2E">
        <w:rPr>
          <w:rFonts w:ascii="Times New Roman" w:eastAsia="SimSun" w:hAnsi="Times New Roman" w:cs="Times New Roman"/>
          <w:b/>
          <w:bCs/>
          <w:sz w:val="24"/>
          <w:szCs w:val="24"/>
        </w:rPr>
        <w:t>Key Central Leaders</w:t>
      </w:r>
    </w:p>
    <w:tbl>
      <w:tblPr>
        <w:tblStyle w:val="TableGrid"/>
        <w:tblW w:w="0" w:type="auto"/>
        <w:tblLook w:val="04A0" w:firstRow="1" w:lastRow="0" w:firstColumn="1" w:lastColumn="0" w:noHBand="0" w:noVBand="1"/>
      </w:tblPr>
      <w:tblGrid>
        <w:gridCol w:w="3116"/>
        <w:gridCol w:w="3117"/>
        <w:gridCol w:w="3117"/>
      </w:tblGrid>
      <w:tr w:rsidR="00315077" w:rsidRPr="00D75E5D" w14:paraId="22A84FF7" w14:textId="77777777" w:rsidTr="00315077">
        <w:tc>
          <w:tcPr>
            <w:tcW w:w="3116" w:type="dxa"/>
          </w:tcPr>
          <w:p w14:paraId="01FBE958" w14:textId="77777777" w:rsidR="00315077" w:rsidRPr="00971912" w:rsidRDefault="00315077" w:rsidP="00315077">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Central Party</w:t>
            </w:r>
          </w:p>
        </w:tc>
        <w:tc>
          <w:tcPr>
            <w:tcW w:w="3117" w:type="dxa"/>
          </w:tcPr>
          <w:p w14:paraId="3833896B" w14:textId="77777777" w:rsidR="00315077" w:rsidRPr="00971912" w:rsidRDefault="00315077" w:rsidP="00315077">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SASAC Directors</w:t>
            </w:r>
          </w:p>
        </w:tc>
        <w:tc>
          <w:tcPr>
            <w:tcW w:w="3117" w:type="dxa"/>
          </w:tcPr>
          <w:p w14:paraId="2C2BAD69" w14:textId="77777777" w:rsidR="00315077" w:rsidRPr="00971912" w:rsidRDefault="00315077" w:rsidP="00315077">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Central Organization Department Directors</w:t>
            </w:r>
          </w:p>
        </w:tc>
      </w:tr>
      <w:tr w:rsidR="00315077" w:rsidRPr="00D75E5D" w14:paraId="22A765FD" w14:textId="77777777" w:rsidTr="00315077">
        <w:tc>
          <w:tcPr>
            <w:tcW w:w="3116" w:type="dxa"/>
          </w:tcPr>
          <w:p w14:paraId="2E1080C3" w14:textId="77777777" w:rsidR="00315077" w:rsidRPr="00971912" w:rsidRDefault="00315077" w:rsidP="00315077">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Hu Jintao</w:t>
            </w:r>
          </w:p>
          <w:p w14:paraId="4A287E00" w14:textId="77777777" w:rsidR="00315077" w:rsidRPr="00971912" w:rsidRDefault="00315077" w:rsidP="00315077">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(2003-2012)</w:t>
            </w:r>
          </w:p>
        </w:tc>
        <w:tc>
          <w:tcPr>
            <w:tcW w:w="3117" w:type="dxa"/>
          </w:tcPr>
          <w:p w14:paraId="0E769294" w14:textId="77777777" w:rsidR="00315077" w:rsidRPr="00971912" w:rsidRDefault="00315077" w:rsidP="00315077">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 xml:space="preserve">Li </w:t>
            </w:r>
            <w:proofErr w:type="spellStart"/>
            <w:r w:rsidRPr="00971912">
              <w:rPr>
                <w:rFonts w:ascii="Times New Roman" w:eastAsia="SimSun" w:hAnsi="Times New Roman" w:cs="Times New Roman"/>
                <w:sz w:val="24"/>
                <w:szCs w:val="24"/>
              </w:rPr>
              <w:t>Rongrong</w:t>
            </w:r>
            <w:proofErr w:type="spellEnd"/>
          </w:p>
          <w:p w14:paraId="75E203AA" w14:textId="77777777" w:rsidR="00315077" w:rsidRPr="00971912" w:rsidRDefault="00315077" w:rsidP="00315077">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(2003-2010)</w:t>
            </w:r>
          </w:p>
        </w:tc>
        <w:tc>
          <w:tcPr>
            <w:tcW w:w="3117" w:type="dxa"/>
          </w:tcPr>
          <w:p w14:paraId="7AB39108" w14:textId="77777777" w:rsidR="00315077" w:rsidRPr="00971912" w:rsidRDefault="00315077" w:rsidP="00315077">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 xml:space="preserve">He </w:t>
            </w:r>
            <w:proofErr w:type="spellStart"/>
            <w:r w:rsidRPr="00971912">
              <w:rPr>
                <w:rFonts w:ascii="Times New Roman" w:eastAsia="SimSun" w:hAnsi="Times New Roman" w:cs="Times New Roman"/>
                <w:sz w:val="24"/>
                <w:szCs w:val="24"/>
              </w:rPr>
              <w:t>Guoqiang</w:t>
            </w:r>
            <w:proofErr w:type="spellEnd"/>
          </w:p>
          <w:p w14:paraId="55CFDEE9" w14:textId="77777777" w:rsidR="00315077" w:rsidRPr="00971912" w:rsidRDefault="00315077" w:rsidP="00315077">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(2002-2007)</w:t>
            </w:r>
          </w:p>
        </w:tc>
      </w:tr>
      <w:tr w:rsidR="00315077" w:rsidRPr="00D75E5D" w14:paraId="5DDBA631" w14:textId="77777777" w:rsidTr="00315077">
        <w:tc>
          <w:tcPr>
            <w:tcW w:w="3116" w:type="dxa"/>
          </w:tcPr>
          <w:p w14:paraId="0B00707B" w14:textId="77777777" w:rsidR="00315077" w:rsidRPr="00971912" w:rsidRDefault="00315077" w:rsidP="00315077">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 xml:space="preserve">Xi Jinping </w:t>
            </w:r>
          </w:p>
          <w:p w14:paraId="2AE7E2CC" w14:textId="77777777" w:rsidR="00315077" w:rsidRPr="00971912" w:rsidRDefault="00315077" w:rsidP="00315077">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(2012-present)</w:t>
            </w:r>
          </w:p>
        </w:tc>
        <w:tc>
          <w:tcPr>
            <w:tcW w:w="3117" w:type="dxa"/>
          </w:tcPr>
          <w:p w14:paraId="1CF463DC" w14:textId="77777777" w:rsidR="00315077" w:rsidRPr="00971912" w:rsidRDefault="00315077" w:rsidP="00315077">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Wang Yong</w:t>
            </w:r>
          </w:p>
          <w:p w14:paraId="66A7A7CA" w14:textId="77777777" w:rsidR="00315077" w:rsidRPr="00971912" w:rsidRDefault="00315077" w:rsidP="00315077">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(2011-2013)</w:t>
            </w:r>
          </w:p>
        </w:tc>
        <w:tc>
          <w:tcPr>
            <w:tcW w:w="3117" w:type="dxa"/>
          </w:tcPr>
          <w:p w14:paraId="48DCEB6A" w14:textId="77777777" w:rsidR="00315077" w:rsidRPr="00971912" w:rsidRDefault="00315077" w:rsidP="00315077">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 xml:space="preserve">Li </w:t>
            </w:r>
            <w:proofErr w:type="spellStart"/>
            <w:r w:rsidRPr="00971912">
              <w:rPr>
                <w:rFonts w:ascii="Times New Roman" w:eastAsia="SimSun" w:hAnsi="Times New Roman" w:cs="Times New Roman"/>
                <w:sz w:val="24"/>
                <w:szCs w:val="24"/>
              </w:rPr>
              <w:t>Yuanchao</w:t>
            </w:r>
            <w:proofErr w:type="spellEnd"/>
          </w:p>
          <w:p w14:paraId="5E402516" w14:textId="77777777" w:rsidR="00315077" w:rsidRPr="00971912" w:rsidRDefault="00315077" w:rsidP="00315077">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(2008-2012)</w:t>
            </w:r>
          </w:p>
        </w:tc>
      </w:tr>
      <w:tr w:rsidR="00315077" w:rsidRPr="00D75E5D" w14:paraId="6918B2B5" w14:textId="77777777" w:rsidTr="00315077">
        <w:tc>
          <w:tcPr>
            <w:tcW w:w="3116" w:type="dxa"/>
          </w:tcPr>
          <w:p w14:paraId="4E83808A" w14:textId="77777777" w:rsidR="00315077" w:rsidRPr="00971912" w:rsidRDefault="00315077" w:rsidP="00315077">
            <w:pPr>
              <w:pStyle w:val="ListParagraph"/>
              <w:spacing w:after="0" w:line="240" w:lineRule="auto"/>
              <w:ind w:left="0"/>
              <w:jc w:val="center"/>
              <w:rPr>
                <w:rFonts w:ascii="Times New Roman" w:eastAsia="SimSun" w:hAnsi="Times New Roman" w:cs="Times New Roman"/>
                <w:sz w:val="24"/>
                <w:szCs w:val="24"/>
              </w:rPr>
            </w:pPr>
          </w:p>
        </w:tc>
        <w:tc>
          <w:tcPr>
            <w:tcW w:w="3117" w:type="dxa"/>
          </w:tcPr>
          <w:p w14:paraId="25E706B3" w14:textId="77777777" w:rsidR="00315077" w:rsidRPr="00971912" w:rsidRDefault="00315077" w:rsidP="00315077">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 xml:space="preserve">Zhang Yi </w:t>
            </w:r>
          </w:p>
          <w:p w14:paraId="2AF8CF54" w14:textId="77777777" w:rsidR="00315077" w:rsidRPr="00971912" w:rsidRDefault="00315077" w:rsidP="00315077">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(2014-2015)</w:t>
            </w:r>
          </w:p>
        </w:tc>
        <w:tc>
          <w:tcPr>
            <w:tcW w:w="3117" w:type="dxa"/>
          </w:tcPr>
          <w:p w14:paraId="26369C3D" w14:textId="77777777" w:rsidR="00315077" w:rsidRPr="00971912" w:rsidRDefault="00315077" w:rsidP="00315077">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Zhao Leji</w:t>
            </w:r>
          </w:p>
          <w:p w14:paraId="18149805" w14:textId="77777777" w:rsidR="00315077" w:rsidRPr="00971912" w:rsidRDefault="00315077" w:rsidP="00315077">
            <w:pPr>
              <w:pStyle w:val="ListParagraph"/>
              <w:spacing w:after="0" w:line="240" w:lineRule="auto"/>
              <w:ind w:left="0"/>
              <w:jc w:val="center"/>
              <w:rPr>
                <w:rFonts w:ascii="Times New Roman" w:eastAsia="SimSun" w:hAnsi="Times New Roman" w:cs="Times New Roman"/>
                <w:sz w:val="24"/>
                <w:szCs w:val="24"/>
              </w:rPr>
            </w:pPr>
            <w:r w:rsidRPr="00971912">
              <w:rPr>
                <w:rFonts w:ascii="Times New Roman" w:eastAsia="SimSun" w:hAnsi="Times New Roman" w:cs="Times New Roman"/>
                <w:sz w:val="24"/>
                <w:szCs w:val="24"/>
              </w:rPr>
              <w:t>(2013-2017)</w:t>
            </w:r>
          </w:p>
        </w:tc>
      </w:tr>
    </w:tbl>
    <w:p w14:paraId="738CC11D" w14:textId="77777777" w:rsidR="00315077" w:rsidRPr="00971912" w:rsidRDefault="00315077" w:rsidP="00315077">
      <w:pPr>
        <w:pStyle w:val="ListParagraph"/>
        <w:spacing w:line="480" w:lineRule="auto"/>
        <w:ind w:left="0"/>
        <w:jc w:val="center"/>
        <w:rPr>
          <w:rFonts w:ascii="Times New Roman" w:eastAsia="SimSun" w:hAnsi="Times New Roman" w:cs="Times New Roman"/>
          <w:sz w:val="24"/>
          <w:szCs w:val="24"/>
        </w:rPr>
      </w:pPr>
    </w:p>
    <w:p w14:paraId="79D95CEF" w14:textId="77777777" w:rsidR="00315077" w:rsidRDefault="00315077" w:rsidP="00315077">
      <w:pPr>
        <w:spacing w:after="160" w:line="259" w:lineRule="auto"/>
        <w:rPr>
          <w:rFonts w:eastAsia="SimSun"/>
        </w:rPr>
      </w:pPr>
    </w:p>
    <w:p w14:paraId="01769D8A" w14:textId="14FB76D3" w:rsidR="00315077" w:rsidRPr="00127C2E" w:rsidRDefault="00315077" w:rsidP="00127C2E">
      <w:pPr>
        <w:pStyle w:val="ListParagraph"/>
        <w:spacing w:line="240" w:lineRule="auto"/>
        <w:ind w:left="0"/>
        <w:jc w:val="center"/>
        <w:rPr>
          <w:rFonts w:ascii="Times New Roman" w:eastAsia="SimSun" w:hAnsi="Times New Roman" w:cs="Times New Roman"/>
          <w:b/>
          <w:bCs/>
          <w:sz w:val="24"/>
          <w:szCs w:val="24"/>
        </w:rPr>
      </w:pPr>
      <w:r w:rsidRPr="00127C2E">
        <w:rPr>
          <w:rFonts w:ascii="Times New Roman" w:eastAsia="SimSun" w:hAnsi="Times New Roman" w:cs="Times New Roman"/>
          <w:b/>
          <w:bCs/>
          <w:sz w:val="24"/>
          <w:szCs w:val="24"/>
        </w:rPr>
        <w:t>Table A3</w:t>
      </w:r>
      <w:r w:rsidR="00127C2E" w:rsidRPr="00127C2E">
        <w:rPr>
          <w:rFonts w:ascii="Times New Roman" w:eastAsia="SimSun" w:hAnsi="Times New Roman" w:cs="Times New Roman"/>
          <w:b/>
          <w:bCs/>
          <w:sz w:val="24"/>
          <w:szCs w:val="24"/>
        </w:rPr>
        <w:t xml:space="preserve">: </w:t>
      </w:r>
      <w:r w:rsidRPr="00127C2E">
        <w:rPr>
          <w:rFonts w:ascii="Times New Roman" w:eastAsia="SimSun" w:hAnsi="Times New Roman" w:cs="Times New Roman"/>
          <w:b/>
          <w:bCs/>
          <w:sz w:val="24"/>
          <w:szCs w:val="24"/>
        </w:rPr>
        <w:t>Summary Statistics</w:t>
      </w:r>
    </w:p>
    <w:p w14:paraId="0E0A3EE4" w14:textId="77777777" w:rsidR="00127C2E" w:rsidRPr="003E4B63" w:rsidRDefault="00127C2E" w:rsidP="00127C2E">
      <w:pPr>
        <w:pStyle w:val="ListParagraph"/>
        <w:spacing w:line="240" w:lineRule="auto"/>
        <w:ind w:left="0"/>
        <w:jc w:val="center"/>
        <w:rPr>
          <w:rFonts w:ascii="Times New Roman" w:eastAsia="SimSu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763"/>
        <w:gridCol w:w="1632"/>
        <w:gridCol w:w="617"/>
        <w:gridCol w:w="656"/>
      </w:tblGrid>
      <w:tr w:rsidR="00315077" w:rsidRPr="003E4B63" w14:paraId="506DD875" w14:textId="77777777" w:rsidTr="00315077">
        <w:trPr>
          <w:jc w:val="center"/>
        </w:trPr>
        <w:tc>
          <w:tcPr>
            <w:tcW w:w="2532" w:type="dxa"/>
            <w:tcBorders>
              <w:top w:val="single" w:sz="4" w:space="0" w:color="auto"/>
              <w:bottom w:val="single" w:sz="4" w:space="0" w:color="auto"/>
            </w:tcBorders>
          </w:tcPr>
          <w:p w14:paraId="3E865D0C"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Variable</w:t>
            </w:r>
          </w:p>
        </w:tc>
        <w:tc>
          <w:tcPr>
            <w:tcW w:w="763" w:type="dxa"/>
            <w:tcBorders>
              <w:top w:val="single" w:sz="4" w:space="0" w:color="auto"/>
              <w:bottom w:val="single" w:sz="4" w:space="0" w:color="auto"/>
            </w:tcBorders>
          </w:tcPr>
          <w:p w14:paraId="43AC6BC1"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proofErr w:type="spellStart"/>
            <w:r w:rsidRPr="003E4B63">
              <w:rPr>
                <w:rFonts w:ascii="Times New Roman" w:eastAsia="SimSun" w:hAnsi="Times New Roman" w:cs="Times New Roman"/>
                <w:sz w:val="24"/>
                <w:szCs w:val="24"/>
              </w:rPr>
              <w:t>Obs</w:t>
            </w:r>
            <w:proofErr w:type="spellEnd"/>
          </w:p>
        </w:tc>
        <w:tc>
          <w:tcPr>
            <w:tcW w:w="1632" w:type="dxa"/>
            <w:tcBorders>
              <w:top w:val="single" w:sz="4" w:space="0" w:color="auto"/>
              <w:bottom w:val="single" w:sz="4" w:space="0" w:color="auto"/>
            </w:tcBorders>
          </w:tcPr>
          <w:p w14:paraId="48AE9A9D"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Mean (SD)</w:t>
            </w:r>
          </w:p>
        </w:tc>
        <w:tc>
          <w:tcPr>
            <w:tcW w:w="0" w:type="auto"/>
            <w:tcBorders>
              <w:top w:val="single" w:sz="4" w:space="0" w:color="auto"/>
              <w:bottom w:val="single" w:sz="4" w:space="0" w:color="auto"/>
            </w:tcBorders>
          </w:tcPr>
          <w:p w14:paraId="6D6E4828"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Min</w:t>
            </w:r>
          </w:p>
        </w:tc>
        <w:tc>
          <w:tcPr>
            <w:tcW w:w="0" w:type="auto"/>
            <w:tcBorders>
              <w:top w:val="single" w:sz="4" w:space="0" w:color="auto"/>
              <w:bottom w:val="single" w:sz="4" w:space="0" w:color="auto"/>
            </w:tcBorders>
          </w:tcPr>
          <w:p w14:paraId="3AD31F8B"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Max</w:t>
            </w:r>
          </w:p>
        </w:tc>
      </w:tr>
      <w:tr w:rsidR="00315077" w:rsidRPr="003E4B63" w14:paraId="256D263D" w14:textId="77777777" w:rsidTr="00315077">
        <w:trPr>
          <w:jc w:val="center"/>
        </w:trPr>
        <w:tc>
          <w:tcPr>
            <w:tcW w:w="2532" w:type="dxa"/>
            <w:tcBorders>
              <w:top w:val="single" w:sz="4" w:space="0" w:color="auto"/>
            </w:tcBorders>
          </w:tcPr>
          <w:p w14:paraId="2115ECDA" w14:textId="77777777" w:rsidR="00315077" w:rsidRPr="003E4B63" w:rsidRDefault="00315077" w:rsidP="00315077">
            <w:pPr>
              <w:pStyle w:val="ListParagraph"/>
              <w:spacing w:after="0" w:line="240" w:lineRule="auto"/>
              <w:ind w:left="0"/>
              <w:rPr>
                <w:rFonts w:ascii="Times New Roman" w:eastAsia="SimSun" w:hAnsi="Times New Roman" w:cs="Times New Roman"/>
                <w:sz w:val="24"/>
                <w:szCs w:val="24"/>
              </w:rPr>
            </w:pPr>
            <w:r w:rsidRPr="003E4B63">
              <w:rPr>
                <w:rFonts w:ascii="Times New Roman" w:eastAsia="SimSun" w:hAnsi="Times New Roman" w:cs="Times New Roman"/>
                <w:sz w:val="24"/>
                <w:szCs w:val="24"/>
              </w:rPr>
              <w:t>Power Continuation</w:t>
            </w:r>
          </w:p>
        </w:tc>
        <w:tc>
          <w:tcPr>
            <w:tcW w:w="763" w:type="dxa"/>
            <w:tcBorders>
              <w:top w:val="single" w:sz="4" w:space="0" w:color="auto"/>
            </w:tcBorders>
          </w:tcPr>
          <w:p w14:paraId="612C33B2"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1,045</w:t>
            </w:r>
          </w:p>
        </w:tc>
        <w:tc>
          <w:tcPr>
            <w:tcW w:w="1632" w:type="dxa"/>
            <w:tcBorders>
              <w:top w:val="single" w:sz="4" w:space="0" w:color="auto"/>
            </w:tcBorders>
          </w:tcPr>
          <w:p w14:paraId="77C81EF5"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0.899 (0.302)</w:t>
            </w:r>
          </w:p>
        </w:tc>
        <w:tc>
          <w:tcPr>
            <w:tcW w:w="0" w:type="auto"/>
            <w:tcBorders>
              <w:top w:val="single" w:sz="4" w:space="0" w:color="auto"/>
            </w:tcBorders>
          </w:tcPr>
          <w:p w14:paraId="5358A167"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w:t>
            </w:r>
          </w:p>
        </w:tc>
        <w:tc>
          <w:tcPr>
            <w:tcW w:w="0" w:type="auto"/>
            <w:tcBorders>
              <w:top w:val="single" w:sz="4" w:space="0" w:color="auto"/>
            </w:tcBorders>
          </w:tcPr>
          <w:p w14:paraId="0A34C4C3"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w:t>
            </w:r>
          </w:p>
        </w:tc>
      </w:tr>
      <w:tr w:rsidR="00315077" w:rsidRPr="003E4B63" w14:paraId="52ABC4A7" w14:textId="77777777" w:rsidTr="00315077">
        <w:trPr>
          <w:jc w:val="center"/>
        </w:trPr>
        <w:tc>
          <w:tcPr>
            <w:tcW w:w="2532" w:type="dxa"/>
          </w:tcPr>
          <w:p w14:paraId="6760AAE1" w14:textId="77777777" w:rsidR="00315077" w:rsidRPr="003E4B63" w:rsidRDefault="00315077" w:rsidP="00315077">
            <w:pPr>
              <w:pStyle w:val="ListParagraph"/>
              <w:spacing w:after="0" w:line="240" w:lineRule="auto"/>
              <w:ind w:left="0"/>
              <w:rPr>
                <w:rFonts w:ascii="Times New Roman" w:eastAsia="SimSun" w:hAnsi="Times New Roman" w:cs="Times New Roman"/>
                <w:sz w:val="24"/>
                <w:szCs w:val="24"/>
              </w:rPr>
            </w:pPr>
            <w:r w:rsidRPr="003E4B63">
              <w:rPr>
                <w:rFonts w:ascii="Times New Roman" w:eastAsia="SimSun" w:hAnsi="Times New Roman" w:cs="Times New Roman"/>
                <w:sz w:val="24"/>
                <w:szCs w:val="24"/>
              </w:rPr>
              <w:t>3-level</w:t>
            </w:r>
          </w:p>
        </w:tc>
        <w:tc>
          <w:tcPr>
            <w:tcW w:w="763" w:type="dxa"/>
          </w:tcPr>
          <w:p w14:paraId="028866D7"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p>
        </w:tc>
        <w:tc>
          <w:tcPr>
            <w:tcW w:w="1632" w:type="dxa"/>
          </w:tcPr>
          <w:p w14:paraId="45DDE533"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p>
        </w:tc>
        <w:tc>
          <w:tcPr>
            <w:tcW w:w="0" w:type="auto"/>
          </w:tcPr>
          <w:p w14:paraId="6CAEBDFA"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p>
        </w:tc>
        <w:tc>
          <w:tcPr>
            <w:tcW w:w="0" w:type="auto"/>
          </w:tcPr>
          <w:p w14:paraId="06BB189C"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p>
        </w:tc>
      </w:tr>
      <w:tr w:rsidR="00315077" w:rsidRPr="003E4B63" w14:paraId="181EA862" w14:textId="77777777" w:rsidTr="00315077">
        <w:trPr>
          <w:jc w:val="center"/>
        </w:trPr>
        <w:tc>
          <w:tcPr>
            <w:tcW w:w="2532" w:type="dxa"/>
          </w:tcPr>
          <w:p w14:paraId="22A42C69" w14:textId="77777777" w:rsidR="00315077" w:rsidRPr="003E4B63" w:rsidRDefault="00315077" w:rsidP="00315077">
            <w:pPr>
              <w:pStyle w:val="ListParagraph"/>
              <w:spacing w:after="0" w:line="240" w:lineRule="auto"/>
              <w:ind w:left="150"/>
              <w:rPr>
                <w:rFonts w:ascii="Times New Roman" w:eastAsia="SimSun" w:hAnsi="Times New Roman" w:cs="Times New Roman"/>
                <w:sz w:val="24"/>
                <w:szCs w:val="24"/>
              </w:rPr>
            </w:pPr>
            <w:r w:rsidRPr="003E4B63">
              <w:rPr>
                <w:rFonts w:ascii="Times New Roman" w:eastAsia="SimSun" w:hAnsi="Times New Roman" w:cs="Times New Roman"/>
                <w:sz w:val="24"/>
                <w:szCs w:val="24"/>
              </w:rPr>
              <w:t>Exit</w:t>
            </w:r>
          </w:p>
        </w:tc>
        <w:tc>
          <w:tcPr>
            <w:tcW w:w="763" w:type="dxa"/>
          </w:tcPr>
          <w:p w14:paraId="0F4887A6"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75</w:t>
            </w:r>
          </w:p>
        </w:tc>
        <w:tc>
          <w:tcPr>
            <w:tcW w:w="1632" w:type="dxa"/>
          </w:tcPr>
          <w:p w14:paraId="6C889410"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0.068</w:t>
            </w:r>
          </w:p>
        </w:tc>
        <w:tc>
          <w:tcPr>
            <w:tcW w:w="0" w:type="auto"/>
          </w:tcPr>
          <w:p w14:paraId="4EA522D2"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p>
        </w:tc>
        <w:tc>
          <w:tcPr>
            <w:tcW w:w="0" w:type="auto"/>
          </w:tcPr>
          <w:p w14:paraId="3035B99E"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p>
        </w:tc>
      </w:tr>
      <w:tr w:rsidR="00315077" w:rsidRPr="003E4B63" w14:paraId="6D417B29" w14:textId="77777777" w:rsidTr="00315077">
        <w:trPr>
          <w:jc w:val="center"/>
        </w:trPr>
        <w:tc>
          <w:tcPr>
            <w:tcW w:w="2532" w:type="dxa"/>
          </w:tcPr>
          <w:p w14:paraId="6B2E841A" w14:textId="77777777" w:rsidR="00315077" w:rsidRPr="003E4B63" w:rsidRDefault="00315077" w:rsidP="00315077">
            <w:pPr>
              <w:pStyle w:val="ListParagraph"/>
              <w:spacing w:after="0" w:line="240" w:lineRule="auto"/>
              <w:ind w:left="150"/>
              <w:rPr>
                <w:rFonts w:ascii="Times New Roman" w:eastAsia="SimSun" w:hAnsi="Times New Roman" w:cs="Times New Roman"/>
                <w:sz w:val="24"/>
                <w:szCs w:val="24"/>
              </w:rPr>
            </w:pPr>
            <w:r w:rsidRPr="003E4B63">
              <w:rPr>
                <w:rFonts w:ascii="Times New Roman" w:eastAsia="SimSun" w:hAnsi="Times New Roman" w:cs="Times New Roman"/>
                <w:sz w:val="24"/>
                <w:szCs w:val="24"/>
              </w:rPr>
              <w:t>Stay SOE</w:t>
            </w:r>
          </w:p>
        </w:tc>
        <w:tc>
          <w:tcPr>
            <w:tcW w:w="763" w:type="dxa"/>
          </w:tcPr>
          <w:p w14:paraId="728EC4BD"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991</w:t>
            </w:r>
          </w:p>
        </w:tc>
        <w:tc>
          <w:tcPr>
            <w:tcW w:w="1632" w:type="dxa"/>
          </w:tcPr>
          <w:p w14:paraId="6A1E8B0E"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0.895</w:t>
            </w:r>
          </w:p>
        </w:tc>
        <w:tc>
          <w:tcPr>
            <w:tcW w:w="0" w:type="auto"/>
          </w:tcPr>
          <w:p w14:paraId="30C996CA"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p>
        </w:tc>
        <w:tc>
          <w:tcPr>
            <w:tcW w:w="0" w:type="auto"/>
          </w:tcPr>
          <w:p w14:paraId="40AAA324"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p>
        </w:tc>
      </w:tr>
      <w:tr w:rsidR="00315077" w:rsidRPr="003E4B63" w14:paraId="35CA0702" w14:textId="77777777" w:rsidTr="00315077">
        <w:trPr>
          <w:jc w:val="center"/>
        </w:trPr>
        <w:tc>
          <w:tcPr>
            <w:tcW w:w="2532" w:type="dxa"/>
          </w:tcPr>
          <w:p w14:paraId="041EC0FE" w14:textId="77777777" w:rsidR="00315077" w:rsidRPr="003E4B63" w:rsidRDefault="00315077" w:rsidP="00315077">
            <w:pPr>
              <w:pStyle w:val="ListParagraph"/>
              <w:spacing w:after="0" w:line="240" w:lineRule="auto"/>
              <w:ind w:left="150"/>
              <w:rPr>
                <w:rFonts w:ascii="Times New Roman" w:eastAsia="SimSun" w:hAnsi="Times New Roman" w:cs="Times New Roman"/>
                <w:sz w:val="24"/>
                <w:szCs w:val="24"/>
              </w:rPr>
            </w:pPr>
            <w:r w:rsidRPr="003E4B63">
              <w:rPr>
                <w:rFonts w:ascii="Times New Roman" w:eastAsia="SimSun" w:hAnsi="Times New Roman" w:cs="Times New Roman"/>
                <w:sz w:val="24"/>
                <w:szCs w:val="24"/>
              </w:rPr>
              <w:t>Government</w:t>
            </w:r>
          </w:p>
        </w:tc>
        <w:tc>
          <w:tcPr>
            <w:tcW w:w="763" w:type="dxa"/>
          </w:tcPr>
          <w:p w14:paraId="2ADE95BC"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41</w:t>
            </w:r>
          </w:p>
        </w:tc>
        <w:tc>
          <w:tcPr>
            <w:tcW w:w="1632" w:type="dxa"/>
          </w:tcPr>
          <w:p w14:paraId="38230F62"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0.037</w:t>
            </w:r>
          </w:p>
        </w:tc>
        <w:tc>
          <w:tcPr>
            <w:tcW w:w="0" w:type="auto"/>
          </w:tcPr>
          <w:p w14:paraId="34120462"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p>
        </w:tc>
        <w:tc>
          <w:tcPr>
            <w:tcW w:w="0" w:type="auto"/>
          </w:tcPr>
          <w:p w14:paraId="323EFF04"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p>
        </w:tc>
      </w:tr>
      <w:tr w:rsidR="00315077" w:rsidRPr="003E4B63" w14:paraId="631A060F" w14:textId="77777777" w:rsidTr="00315077">
        <w:trPr>
          <w:jc w:val="center"/>
        </w:trPr>
        <w:tc>
          <w:tcPr>
            <w:tcW w:w="2532" w:type="dxa"/>
          </w:tcPr>
          <w:p w14:paraId="227BA74D" w14:textId="77777777" w:rsidR="00315077" w:rsidRPr="003E4B63" w:rsidRDefault="00315077" w:rsidP="00315077">
            <w:pPr>
              <w:pStyle w:val="ListParagraph"/>
              <w:spacing w:after="0" w:line="240" w:lineRule="auto"/>
              <w:ind w:left="0"/>
              <w:rPr>
                <w:rFonts w:ascii="Times New Roman" w:eastAsia="SimSun" w:hAnsi="Times New Roman" w:cs="Times New Roman"/>
                <w:sz w:val="24"/>
                <w:szCs w:val="24"/>
              </w:rPr>
            </w:pPr>
            <w:r w:rsidRPr="003E4B63">
              <w:rPr>
                <w:rFonts w:ascii="Times New Roman" w:eastAsia="SimSun" w:hAnsi="Times New Roman" w:cs="Times New Roman"/>
                <w:sz w:val="24"/>
                <w:szCs w:val="24"/>
              </w:rPr>
              <w:t>ROA</w:t>
            </w:r>
          </w:p>
        </w:tc>
        <w:tc>
          <w:tcPr>
            <w:tcW w:w="763" w:type="dxa"/>
          </w:tcPr>
          <w:p w14:paraId="7CCE0B10"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1,045</w:t>
            </w:r>
          </w:p>
        </w:tc>
        <w:tc>
          <w:tcPr>
            <w:tcW w:w="1632" w:type="dxa"/>
          </w:tcPr>
          <w:p w14:paraId="078B59B4"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0.319 (0.490)</w:t>
            </w:r>
          </w:p>
        </w:tc>
        <w:tc>
          <w:tcPr>
            <w:tcW w:w="0" w:type="auto"/>
          </w:tcPr>
          <w:p w14:paraId="07FD0FA8"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-2.4</w:t>
            </w:r>
          </w:p>
        </w:tc>
        <w:tc>
          <w:tcPr>
            <w:tcW w:w="0" w:type="auto"/>
          </w:tcPr>
          <w:p w14:paraId="124E5B87"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2.99</w:t>
            </w:r>
          </w:p>
        </w:tc>
      </w:tr>
      <w:tr w:rsidR="00315077" w:rsidRPr="003E4B63" w14:paraId="7BFBBC0B" w14:textId="77777777" w:rsidTr="00315077">
        <w:trPr>
          <w:jc w:val="center"/>
        </w:trPr>
        <w:tc>
          <w:tcPr>
            <w:tcW w:w="2532" w:type="dxa"/>
          </w:tcPr>
          <w:p w14:paraId="78675A3E" w14:textId="77777777" w:rsidR="00315077" w:rsidRPr="003E4B63" w:rsidRDefault="00315077" w:rsidP="00315077">
            <w:pPr>
              <w:pStyle w:val="ListParagraph"/>
              <w:spacing w:after="0" w:line="240" w:lineRule="auto"/>
              <w:ind w:left="0"/>
              <w:rPr>
                <w:rFonts w:ascii="Times New Roman" w:eastAsia="SimSun" w:hAnsi="Times New Roman" w:cs="Times New Roman"/>
                <w:sz w:val="24"/>
                <w:szCs w:val="24"/>
              </w:rPr>
            </w:pPr>
            <w:r w:rsidRPr="003E4B63">
              <w:rPr>
                <w:rFonts w:ascii="Times New Roman" w:eastAsia="SimSun" w:hAnsi="Times New Roman" w:cs="Times New Roman"/>
                <w:sz w:val="24"/>
                <w:szCs w:val="24"/>
              </w:rPr>
              <w:t>Connected</w:t>
            </w:r>
          </w:p>
        </w:tc>
        <w:tc>
          <w:tcPr>
            <w:tcW w:w="763" w:type="dxa"/>
          </w:tcPr>
          <w:p w14:paraId="2FFDF2D6"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p>
        </w:tc>
        <w:tc>
          <w:tcPr>
            <w:tcW w:w="1632" w:type="dxa"/>
          </w:tcPr>
          <w:p w14:paraId="3C59CE63"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p>
        </w:tc>
        <w:tc>
          <w:tcPr>
            <w:tcW w:w="0" w:type="auto"/>
          </w:tcPr>
          <w:p w14:paraId="5C4F9337"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p>
        </w:tc>
        <w:tc>
          <w:tcPr>
            <w:tcW w:w="0" w:type="auto"/>
          </w:tcPr>
          <w:p w14:paraId="73CF8A5B"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p>
        </w:tc>
      </w:tr>
      <w:tr w:rsidR="00315077" w:rsidRPr="003E4B63" w14:paraId="1B274029" w14:textId="77777777" w:rsidTr="00315077">
        <w:trPr>
          <w:jc w:val="center"/>
        </w:trPr>
        <w:tc>
          <w:tcPr>
            <w:tcW w:w="2532" w:type="dxa"/>
          </w:tcPr>
          <w:p w14:paraId="0369DCEC" w14:textId="77777777" w:rsidR="00315077" w:rsidRPr="003E4B63" w:rsidRDefault="00315077" w:rsidP="00315077">
            <w:pPr>
              <w:pStyle w:val="ListParagraph"/>
              <w:spacing w:after="0" w:line="240" w:lineRule="auto"/>
              <w:ind w:left="150"/>
              <w:rPr>
                <w:rFonts w:ascii="Times New Roman" w:eastAsia="SimSun" w:hAnsi="Times New Roman" w:cs="Times New Roman"/>
                <w:sz w:val="24"/>
                <w:szCs w:val="24"/>
              </w:rPr>
            </w:pPr>
            <w:r w:rsidRPr="003E4B63">
              <w:rPr>
                <w:rFonts w:ascii="Times New Roman" w:eastAsia="SimSun" w:hAnsi="Times New Roman" w:cs="Times New Roman"/>
                <w:sz w:val="24"/>
                <w:szCs w:val="24"/>
              </w:rPr>
              <w:t>Central</w:t>
            </w:r>
          </w:p>
        </w:tc>
        <w:tc>
          <w:tcPr>
            <w:tcW w:w="763" w:type="dxa"/>
          </w:tcPr>
          <w:p w14:paraId="0F4D0502"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1,109</w:t>
            </w:r>
          </w:p>
        </w:tc>
        <w:tc>
          <w:tcPr>
            <w:tcW w:w="1632" w:type="dxa"/>
          </w:tcPr>
          <w:p w14:paraId="18C5C4D8"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0.609 (0.488)</w:t>
            </w:r>
          </w:p>
        </w:tc>
        <w:tc>
          <w:tcPr>
            <w:tcW w:w="0" w:type="auto"/>
          </w:tcPr>
          <w:p w14:paraId="761D3EE6"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w:t>
            </w:r>
          </w:p>
        </w:tc>
        <w:tc>
          <w:tcPr>
            <w:tcW w:w="0" w:type="auto"/>
          </w:tcPr>
          <w:p w14:paraId="5B02F2BE"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w:t>
            </w:r>
          </w:p>
        </w:tc>
      </w:tr>
      <w:tr w:rsidR="00315077" w:rsidRPr="003E4B63" w14:paraId="167D90C7" w14:textId="77777777" w:rsidTr="00315077">
        <w:trPr>
          <w:jc w:val="center"/>
        </w:trPr>
        <w:tc>
          <w:tcPr>
            <w:tcW w:w="2532" w:type="dxa"/>
          </w:tcPr>
          <w:p w14:paraId="4BD53644" w14:textId="77777777" w:rsidR="00315077" w:rsidRPr="003E4B63" w:rsidRDefault="00315077" w:rsidP="00315077">
            <w:pPr>
              <w:pStyle w:val="ListParagraph"/>
              <w:spacing w:after="0" w:line="240" w:lineRule="auto"/>
              <w:ind w:left="150"/>
              <w:rPr>
                <w:rFonts w:ascii="Times New Roman" w:eastAsia="SimSun" w:hAnsi="Times New Roman" w:cs="Times New Roman"/>
                <w:sz w:val="24"/>
                <w:szCs w:val="24"/>
              </w:rPr>
            </w:pPr>
            <w:r w:rsidRPr="003E4B63">
              <w:rPr>
                <w:rFonts w:ascii="Times New Roman" w:eastAsia="SimSun" w:hAnsi="Times New Roman" w:cs="Times New Roman"/>
                <w:sz w:val="24"/>
                <w:szCs w:val="24"/>
              </w:rPr>
              <w:t>SASAC</w:t>
            </w:r>
          </w:p>
        </w:tc>
        <w:tc>
          <w:tcPr>
            <w:tcW w:w="763" w:type="dxa"/>
          </w:tcPr>
          <w:p w14:paraId="4D8FB295"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1,109</w:t>
            </w:r>
          </w:p>
        </w:tc>
        <w:tc>
          <w:tcPr>
            <w:tcW w:w="1632" w:type="dxa"/>
          </w:tcPr>
          <w:p w14:paraId="1CC2DCD7"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0.340 (0.490)</w:t>
            </w:r>
          </w:p>
        </w:tc>
        <w:tc>
          <w:tcPr>
            <w:tcW w:w="0" w:type="auto"/>
          </w:tcPr>
          <w:p w14:paraId="7A9EEE5B"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w:t>
            </w:r>
          </w:p>
        </w:tc>
        <w:tc>
          <w:tcPr>
            <w:tcW w:w="0" w:type="auto"/>
          </w:tcPr>
          <w:p w14:paraId="3E2B197C"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w:t>
            </w:r>
          </w:p>
        </w:tc>
      </w:tr>
      <w:tr w:rsidR="00315077" w:rsidRPr="003E4B63" w14:paraId="741D73FA" w14:textId="77777777" w:rsidTr="00315077">
        <w:trPr>
          <w:jc w:val="center"/>
        </w:trPr>
        <w:tc>
          <w:tcPr>
            <w:tcW w:w="2532" w:type="dxa"/>
          </w:tcPr>
          <w:p w14:paraId="6A27D6E4" w14:textId="77777777" w:rsidR="00315077" w:rsidRPr="003E4B63" w:rsidRDefault="00315077" w:rsidP="00315077">
            <w:pPr>
              <w:pStyle w:val="ListParagraph"/>
              <w:spacing w:after="0" w:line="240" w:lineRule="auto"/>
              <w:ind w:left="150"/>
              <w:rPr>
                <w:rFonts w:ascii="Times New Roman" w:eastAsia="SimSun" w:hAnsi="Times New Roman" w:cs="Times New Roman"/>
                <w:sz w:val="24"/>
                <w:szCs w:val="24"/>
              </w:rPr>
            </w:pPr>
            <w:r w:rsidRPr="003E4B63">
              <w:rPr>
                <w:rFonts w:ascii="Times New Roman" w:eastAsia="SimSun" w:hAnsi="Times New Roman" w:cs="Times New Roman"/>
                <w:sz w:val="24"/>
                <w:szCs w:val="24"/>
              </w:rPr>
              <w:t>COD</w:t>
            </w:r>
          </w:p>
        </w:tc>
        <w:tc>
          <w:tcPr>
            <w:tcW w:w="763" w:type="dxa"/>
          </w:tcPr>
          <w:p w14:paraId="156BD64D"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1,109</w:t>
            </w:r>
          </w:p>
        </w:tc>
        <w:tc>
          <w:tcPr>
            <w:tcW w:w="1632" w:type="dxa"/>
          </w:tcPr>
          <w:p w14:paraId="650909E8"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0.444 (0.497)</w:t>
            </w:r>
          </w:p>
        </w:tc>
        <w:tc>
          <w:tcPr>
            <w:tcW w:w="0" w:type="auto"/>
          </w:tcPr>
          <w:p w14:paraId="26CE037E"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w:t>
            </w:r>
          </w:p>
        </w:tc>
        <w:tc>
          <w:tcPr>
            <w:tcW w:w="0" w:type="auto"/>
          </w:tcPr>
          <w:p w14:paraId="4868B611"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w:t>
            </w:r>
          </w:p>
        </w:tc>
      </w:tr>
      <w:tr w:rsidR="00315077" w:rsidRPr="003E4B63" w14:paraId="60B38B95" w14:textId="77777777" w:rsidTr="00315077">
        <w:trPr>
          <w:jc w:val="center"/>
        </w:trPr>
        <w:tc>
          <w:tcPr>
            <w:tcW w:w="2532" w:type="dxa"/>
          </w:tcPr>
          <w:p w14:paraId="28F73ACD" w14:textId="77777777" w:rsidR="00315077" w:rsidRPr="003E4B63" w:rsidRDefault="00315077" w:rsidP="00315077">
            <w:pPr>
              <w:pStyle w:val="ListParagraph"/>
              <w:spacing w:after="0" w:line="240" w:lineRule="auto"/>
              <w:ind w:left="150"/>
              <w:rPr>
                <w:rFonts w:ascii="Times New Roman" w:eastAsia="SimSun" w:hAnsi="Times New Roman" w:cs="Times New Roman"/>
                <w:sz w:val="24"/>
                <w:szCs w:val="24"/>
              </w:rPr>
            </w:pPr>
            <w:r w:rsidRPr="003E4B63">
              <w:rPr>
                <w:rFonts w:ascii="Times New Roman" w:eastAsia="SimSun" w:hAnsi="Times New Roman" w:cs="Times New Roman"/>
                <w:sz w:val="24"/>
                <w:szCs w:val="24"/>
              </w:rPr>
              <w:t>Cumulative</w:t>
            </w:r>
          </w:p>
        </w:tc>
        <w:tc>
          <w:tcPr>
            <w:tcW w:w="763" w:type="dxa"/>
          </w:tcPr>
          <w:p w14:paraId="2F97A36A"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1,109</w:t>
            </w:r>
          </w:p>
        </w:tc>
        <w:tc>
          <w:tcPr>
            <w:tcW w:w="1632" w:type="dxa"/>
          </w:tcPr>
          <w:p w14:paraId="6764E449"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1.45 (1.239)</w:t>
            </w:r>
          </w:p>
        </w:tc>
        <w:tc>
          <w:tcPr>
            <w:tcW w:w="0" w:type="auto"/>
          </w:tcPr>
          <w:p w14:paraId="2496A900"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w:t>
            </w:r>
          </w:p>
        </w:tc>
        <w:tc>
          <w:tcPr>
            <w:tcW w:w="0" w:type="auto"/>
          </w:tcPr>
          <w:p w14:paraId="42DE2EBB"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3</w:t>
            </w:r>
          </w:p>
        </w:tc>
      </w:tr>
      <w:tr w:rsidR="00315077" w:rsidRPr="003E4B63" w14:paraId="3BE581F6" w14:textId="77777777" w:rsidTr="00315077">
        <w:trPr>
          <w:jc w:val="center"/>
        </w:trPr>
        <w:tc>
          <w:tcPr>
            <w:tcW w:w="2532" w:type="dxa"/>
          </w:tcPr>
          <w:p w14:paraId="62FEB030" w14:textId="77777777" w:rsidR="00315077" w:rsidRPr="003E4B63" w:rsidRDefault="00315077" w:rsidP="00315077">
            <w:pPr>
              <w:pStyle w:val="ListParagraph"/>
              <w:spacing w:after="0" w:line="240" w:lineRule="auto"/>
              <w:ind w:left="0"/>
              <w:rPr>
                <w:rFonts w:ascii="Times New Roman" w:eastAsia="SimSun" w:hAnsi="Times New Roman" w:cs="Times New Roman"/>
                <w:sz w:val="24"/>
                <w:szCs w:val="24"/>
              </w:rPr>
            </w:pPr>
            <w:r w:rsidRPr="003E4B63">
              <w:rPr>
                <w:rFonts w:ascii="Times New Roman" w:eastAsia="SimSun" w:hAnsi="Times New Roman" w:cs="Times New Roman"/>
                <w:sz w:val="24"/>
                <w:szCs w:val="24"/>
              </w:rPr>
              <w:t>Party School</w:t>
            </w:r>
          </w:p>
        </w:tc>
        <w:tc>
          <w:tcPr>
            <w:tcW w:w="763" w:type="dxa"/>
          </w:tcPr>
          <w:p w14:paraId="5FBA1234"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1,045</w:t>
            </w:r>
          </w:p>
        </w:tc>
        <w:tc>
          <w:tcPr>
            <w:tcW w:w="1632" w:type="dxa"/>
          </w:tcPr>
          <w:p w14:paraId="00593CE5"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0.138 (0.345)</w:t>
            </w:r>
          </w:p>
        </w:tc>
        <w:tc>
          <w:tcPr>
            <w:tcW w:w="0" w:type="auto"/>
          </w:tcPr>
          <w:p w14:paraId="7A81D529"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w:t>
            </w:r>
          </w:p>
        </w:tc>
        <w:tc>
          <w:tcPr>
            <w:tcW w:w="0" w:type="auto"/>
          </w:tcPr>
          <w:p w14:paraId="61DB7A08"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w:t>
            </w:r>
          </w:p>
        </w:tc>
      </w:tr>
      <w:tr w:rsidR="00315077" w:rsidRPr="003E4B63" w14:paraId="4AD491B2" w14:textId="77777777" w:rsidTr="00315077">
        <w:trPr>
          <w:jc w:val="center"/>
        </w:trPr>
        <w:tc>
          <w:tcPr>
            <w:tcW w:w="2532" w:type="dxa"/>
          </w:tcPr>
          <w:p w14:paraId="6EB79A46" w14:textId="77777777" w:rsidR="00315077" w:rsidRPr="003E4B63" w:rsidRDefault="00315077" w:rsidP="00315077">
            <w:pPr>
              <w:pStyle w:val="ListParagraph"/>
              <w:spacing w:after="0" w:line="240" w:lineRule="auto"/>
              <w:ind w:left="0"/>
              <w:rPr>
                <w:rFonts w:ascii="Times New Roman" w:eastAsia="SimSun" w:hAnsi="Times New Roman" w:cs="Times New Roman"/>
                <w:sz w:val="24"/>
                <w:szCs w:val="24"/>
              </w:rPr>
            </w:pPr>
            <w:r w:rsidRPr="003E4B63">
              <w:rPr>
                <w:rFonts w:ascii="Times New Roman" w:eastAsia="SimSun" w:hAnsi="Times New Roman" w:cs="Times New Roman"/>
                <w:sz w:val="24"/>
                <w:szCs w:val="24"/>
              </w:rPr>
              <w:t>Leadership Years</w:t>
            </w:r>
          </w:p>
        </w:tc>
        <w:tc>
          <w:tcPr>
            <w:tcW w:w="763" w:type="dxa"/>
          </w:tcPr>
          <w:p w14:paraId="14A65C74"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1,045</w:t>
            </w:r>
          </w:p>
        </w:tc>
        <w:tc>
          <w:tcPr>
            <w:tcW w:w="1632" w:type="dxa"/>
          </w:tcPr>
          <w:p w14:paraId="4D358CB5"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5.133 (3.285)</w:t>
            </w:r>
          </w:p>
        </w:tc>
        <w:tc>
          <w:tcPr>
            <w:tcW w:w="0" w:type="auto"/>
          </w:tcPr>
          <w:p w14:paraId="1A63C8EF"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w:t>
            </w:r>
          </w:p>
        </w:tc>
        <w:tc>
          <w:tcPr>
            <w:tcW w:w="0" w:type="auto"/>
          </w:tcPr>
          <w:p w14:paraId="01202FC0"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18</w:t>
            </w:r>
          </w:p>
        </w:tc>
      </w:tr>
      <w:tr w:rsidR="00315077" w:rsidRPr="003E4B63" w14:paraId="4DB15CA4" w14:textId="77777777" w:rsidTr="00315077">
        <w:trPr>
          <w:jc w:val="center"/>
        </w:trPr>
        <w:tc>
          <w:tcPr>
            <w:tcW w:w="2532" w:type="dxa"/>
          </w:tcPr>
          <w:p w14:paraId="57E6354D" w14:textId="77777777" w:rsidR="00315077" w:rsidRPr="003E4B63" w:rsidRDefault="00315077" w:rsidP="00315077">
            <w:pPr>
              <w:pStyle w:val="ListParagraph"/>
              <w:spacing w:after="0" w:line="240" w:lineRule="auto"/>
              <w:ind w:left="0"/>
              <w:rPr>
                <w:rFonts w:ascii="Times New Roman" w:eastAsia="SimSun" w:hAnsi="Times New Roman" w:cs="Times New Roman"/>
                <w:sz w:val="24"/>
                <w:szCs w:val="24"/>
              </w:rPr>
            </w:pPr>
            <w:r w:rsidRPr="003E4B63">
              <w:rPr>
                <w:rFonts w:ascii="Times New Roman" w:eastAsia="SimSun" w:hAnsi="Times New Roman" w:cs="Times New Roman"/>
                <w:sz w:val="24"/>
                <w:szCs w:val="24"/>
              </w:rPr>
              <w:t>Central Experience</w:t>
            </w:r>
          </w:p>
        </w:tc>
        <w:tc>
          <w:tcPr>
            <w:tcW w:w="763" w:type="dxa"/>
          </w:tcPr>
          <w:p w14:paraId="3597B5E5"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1,045</w:t>
            </w:r>
          </w:p>
        </w:tc>
        <w:tc>
          <w:tcPr>
            <w:tcW w:w="1632" w:type="dxa"/>
          </w:tcPr>
          <w:p w14:paraId="1829F3C0"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0.133 (0.340)</w:t>
            </w:r>
          </w:p>
        </w:tc>
        <w:tc>
          <w:tcPr>
            <w:tcW w:w="0" w:type="auto"/>
          </w:tcPr>
          <w:p w14:paraId="1C78D343"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w:t>
            </w:r>
          </w:p>
        </w:tc>
        <w:tc>
          <w:tcPr>
            <w:tcW w:w="0" w:type="auto"/>
          </w:tcPr>
          <w:p w14:paraId="624D61E4"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w:t>
            </w:r>
          </w:p>
        </w:tc>
      </w:tr>
      <w:tr w:rsidR="00315077" w:rsidRPr="003E4B63" w14:paraId="3E82998D" w14:textId="77777777" w:rsidTr="00315077">
        <w:trPr>
          <w:jc w:val="center"/>
        </w:trPr>
        <w:tc>
          <w:tcPr>
            <w:tcW w:w="2532" w:type="dxa"/>
          </w:tcPr>
          <w:p w14:paraId="283BE03D" w14:textId="77777777" w:rsidR="00315077" w:rsidRPr="003E4B63" w:rsidRDefault="00315077" w:rsidP="00315077">
            <w:pPr>
              <w:pStyle w:val="ListParagraph"/>
              <w:spacing w:after="0" w:line="240" w:lineRule="auto"/>
              <w:ind w:left="0"/>
              <w:rPr>
                <w:rFonts w:ascii="Times New Roman" w:eastAsia="SimSun" w:hAnsi="Times New Roman" w:cs="Times New Roman"/>
                <w:sz w:val="24"/>
                <w:szCs w:val="24"/>
              </w:rPr>
            </w:pPr>
            <w:r w:rsidRPr="003E4B63">
              <w:rPr>
                <w:rFonts w:ascii="Times New Roman" w:eastAsia="SimSun" w:hAnsi="Times New Roman" w:cs="Times New Roman"/>
                <w:sz w:val="24"/>
                <w:szCs w:val="24"/>
              </w:rPr>
              <w:t>Local Experience</w:t>
            </w:r>
          </w:p>
        </w:tc>
        <w:tc>
          <w:tcPr>
            <w:tcW w:w="763" w:type="dxa"/>
          </w:tcPr>
          <w:p w14:paraId="1C1643C7"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1,045</w:t>
            </w:r>
          </w:p>
        </w:tc>
        <w:tc>
          <w:tcPr>
            <w:tcW w:w="1632" w:type="dxa"/>
          </w:tcPr>
          <w:p w14:paraId="1D32E4F0"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0.167 (0.373)</w:t>
            </w:r>
          </w:p>
        </w:tc>
        <w:tc>
          <w:tcPr>
            <w:tcW w:w="0" w:type="auto"/>
          </w:tcPr>
          <w:p w14:paraId="44859524"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w:t>
            </w:r>
          </w:p>
        </w:tc>
        <w:tc>
          <w:tcPr>
            <w:tcW w:w="0" w:type="auto"/>
          </w:tcPr>
          <w:p w14:paraId="53B76AA2"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w:t>
            </w:r>
          </w:p>
        </w:tc>
      </w:tr>
      <w:tr w:rsidR="00315077" w:rsidRPr="003E4B63" w14:paraId="54D9088F" w14:textId="77777777" w:rsidTr="00315077">
        <w:trPr>
          <w:jc w:val="center"/>
        </w:trPr>
        <w:tc>
          <w:tcPr>
            <w:tcW w:w="2532" w:type="dxa"/>
          </w:tcPr>
          <w:p w14:paraId="334981C0" w14:textId="77777777" w:rsidR="00315077" w:rsidRPr="003E4B63" w:rsidRDefault="00315077" w:rsidP="00315077">
            <w:pPr>
              <w:pStyle w:val="ListParagraph"/>
              <w:spacing w:after="0" w:line="240" w:lineRule="auto"/>
              <w:ind w:left="0"/>
              <w:rPr>
                <w:rFonts w:ascii="Times New Roman" w:eastAsia="SimSun" w:hAnsi="Times New Roman" w:cs="Times New Roman"/>
                <w:sz w:val="24"/>
                <w:szCs w:val="24"/>
              </w:rPr>
            </w:pPr>
            <w:r w:rsidRPr="003E4B63">
              <w:rPr>
                <w:rFonts w:ascii="Times New Roman" w:eastAsia="SimSun" w:hAnsi="Times New Roman" w:cs="Times New Roman"/>
                <w:sz w:val="24"/>
                <w:szCs w:val="24"/>
              </w:rPr>
              <w:t>Age</w:t>
            </w:r>
          </w:p>
        </w:tc>
        <w:tc>
          <w:tcPr>
            <w:tcW w:w="763" w:type="dxa"/>
          </w:tcPr>
          <w:p w14:paraId="26038030"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1,045</w:t>
            </w:r>
          </w:p>
        </w:tc>
        <w:tc>
          <w:tcPr>
            <w:tcW w:w="1632" w:type="dxa"/>
          </w:tcPr>
          <w:p w14:paraId="6F597851"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54.970 (5.200)</w:t>
            </w:r>
          </w:p>
        </w:tc>
        <w:tc>
          <w:tcPr>
            <w:tcW w:w="0" w:type="auto"/>
          </w:tcPr>
          <w:p w14:paraId="5669B52F"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40</w:t>
            </w:r>
          </w:p>
        </w:tc>
        <w:tc>
          <w:tcPr>
            <w:tcW w:w="0" w:type="auto"/>
          </w:tcPr>
          <w:p w14:paraId="3058AC5C"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69</w:t>
            </w:r>
          </w:p>
        </w:tc>
      </w:tr>
      <w:tr w:rsidR="00315077" w:rsidRPr="003E4B63" w14:paraId="52AD16FD" w14:textId="77777777" w:rsidTr="00315077">
        <w:trPr>
          <w:jc w:val="center"/>
        </w:trPr>
        <w:tc>
          <w:tcPr>
            <w:tcW w:w="2532" w:type="dxa"/>
          </w:tcPr>
          <w:p w14:paraId="252A2633" w14:textId="77777777" w:rsidR="00315077" w:rsidRPr="003E4B63" w:rsidRDefault="00315077" w:rsidP="00315077">
            <w:pPr>
              <w:pStyle w:val="ListParagraph"/>
              <w:spacing w:after="0" w:line="240" w:lineRule="auto"/>
              <w:ind w:left="0"/>
              <w:rPr>
                <w:rFonts w:ascii="Times New Roman" w:eastAsia="SimSun" w:hAnsi="Times New Roman" w:cs="Times New Roman"/>
                <w:sz w:val="24"/>
                <w:szCs w:val="24"/>
              </w:rPr>
            </w:pPr>
            <w:r w:rsidRPr="003E4B63">
              <w:rPr>
                <w:rFonts w:ascii="Times New Roman" w:eastAsia="SimSun" w:hAnsi="Times New Roman" w:cs="Times New Roman"/>
                <w:sz w:val="24"/>
                <w:szCs w:val="24"/>
              </w:rPr>
              <w:t>Graduate Degree</w:t>
            </w:r>
          </w:p>
        </w:tc>
        <w:tc>
          <w:tcPr>
            <w:tcW w:w="763" w:type="dxa"/>
          </w:tcPr>
          <w:p w14:paraId="5D083A9B"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1,045</w:t>
            </w:r>
          </w:p>
        </w:tc>
        <w:tc>
          <w:tcPr>
            <w:tcW w:w="1632" w:type="dxa"/>
          </w:tcPr>
          <w:p w14:paraId="1FBD4279"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0.393 (0.489)</w:t>
            </w:r>
          </w:p>
        </w:tc>
        <w:tc>
          <w:tcPr>
            <w:tcW w:w="0" w:type="auto"/>
          </w:tcPr>
          <w:p w14:paraId="3AABE098"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0</w:t>
            </w:r>
          </w:p>
        </w:tc>
        <w:tc>
          <w:tcPr>
            <w:tcW w:w="0" w:type="auto"/>
          </w:tcPr>
          <w:p w14:paraId="6ED3E961" w14:textId="77777777" w:rsidR="00315077" w:rsidRPr="003E4B63" w:rsidRDefault="00315077" w:rsidP="00315077">
            <w:pPr>
              <w:pStyle w:val="ListParagraph"/>
              <w:spacing w:after="0" w:line="240" w:lineRule="auto"/>
              <w:ind w:left="0"/>
              <w:jc w:val="center"/>
              <w:rPr>
                <w:rFonts w:ascii="Times New Roman" w:eastAsia="SimSun" w:hAnsi="Times New Roman" w:cs="Times New Roman"/>
                <w:sz w:val="24"/>
                <w:szCs w:val="24"/>
              </w:rPr>
            </w:pPr>
            <w:r w:rsidRPr="003E4B63">
              <w:rPr>
                <w:rFonts w:ascii="Times New Roman" w:eastAsia="SimSun" w:hAnsi="Times New Roman" w:cs="Times New Roman"/>
                <w:sz w:val="24"/>
                <w:szCs w:val="24"/>
              </w:rPr>
              <w:t>1</w:t>
            </w:r>
          </w:p>
        </w:tc>
      </w:tr>
    </w:tbl>
    <w:p w14:paraId="5557BF5A" w14:textId="77777777" w:rsidR="00315077" w:rsidRDefault="00315077" w:rsidP="00315077">
      <w:pPr>
        <w:spacing w:after="160" w:line="259" w:lineRule="auto"/>
        <w:rPr>
          <w:rFonts w:asciiTheme="minorHAnsi" w:eastAsia="SimSun" w:hAnsiTheme="minorHAnsi"/>
        </w:rPr>
      </w:pPr>
    </w:p>
    <w:p w14:paraId="2254B890" w14:textId="77777777" w:rsidR="00315077" w:rsidRDefault="00315077" w:rsidP="00315077">
      <w:pPr>
        <w:spacing w:after="160" w:line="259" w:lineRule="auto"/>
        <w:rPr>
          <w:rFonts w:asciiTheme="minorHAnsi" w:eastAsia="SimSun" w:hAnsiTheme="minorHAnsi"/>
        </w:rPr>
      </w:pPr>
      <w:r>
        <w:rPr>
          <w:rFonts w:asciiTheme="minorHAnsi" w:eastAsia="SimSun" w:hAnsiTheme="minorHAnsi"/>
        </w:rPr>
        <w:br w:type="page"/>
      </w:r>
    </w:p>
    <w:p w14:paraId="27393020" w14:textId="76689C54" w:rsidR="00315077" w:rsidRPr="00127C2E" w:rsidRDefault="00315077" w:rsidP="00315077">
      <w:pPr>
        <w:spacing w:after="160" w:line="259" w:lineRule="auto"/>
        <w:jc w:val="center"/>
        <w:rPr>
          <w:b/>
          <w:bCs/>
        </w:rPr>
      </w:pPr>
      <w:r w:rsidRPr="00127C2E">
        <w:rPr>
          <w:b/>
          <w:bCs/>
        </w:rPr>
        <w:lastRenderedPageBreak/>
        <w:t xml:space="preserve">Table A4: Full </w:t>
      </w:r>
      <w:r w:rsidR="00127C2E" w:rsidRPr="00127C2E">
        <w:rPr>
          <w:b/>
          <w:bCs/>
        </w:rPr>
        <w:t>M</w:t>
      </w:r>
      <w:r w:rsidRPr="00127C2E">
        <w:rPr>
          <w:b/>
          <w:bCs/>
        </w:rPr>
        <w:t xml:space="preserve">odel </w:t>
      </w:r>
      <w:r w:rsidR="00127C2E" w:rsidRPr="00127C2E">
        <w:rPr>
          <w:b/>
          <w:bCs/>
        </w:rPr>
        <w:t>R</w:t>
      </w:r>
      <w:r w:rsidRPr="00127C2E">
        <w:rPr>
          <w:b/>
          <w:bCs/>
        </w:rPr>
        <w:t>esults for Power Continuation Logit Models</w:t>
      </w:r>
    </w:p>
    <w:tbl>
      <w:tblPr>
        <w:tblW w:w="3811" w:type="pct"/>
        <w:jc w:val="center"/>
        <w:tblCellMar>
          <w:left w:w="75" w:type="dxa"/>
          <w:right w:w="75" w:type="dxa"/>
        </w:tblCellMar>
        <w:tblLook w:val="0000" w:firstRow="0" w:lastRow="0" w:firstColumn="0" w:lastColumn="0" w:noHBand="0" w:noVBand="0"/>
      </w:tblPr>
      <w:tblGrid>
        <w:gridCol w:w="1274"/>
        <w:gridCol w:w="1195"/>
        <w:gridCol w:w="1195"/>
        <w:gridCol w:w="1195"/>
        <w:gridCol w:w="1195"/>
        <w:gridCol w:w="1195"/>
      </w:tblGrid>
      <w:tr w:rsidR="00315077" w:rsidRPr="00E066EB" w14:paraId="5CC86036" w14:textId="77777777" w:rsidTr="00315077">
        <w:trPr>
          <w:jc w:val="center"/>
        </w:trPr>
        <w:tc>
          <w:tcPr>
            <w:tcW w:w="879" w:type="pct"/>
            <w:tcBorders>
              <w:top w:val="single" w:sz="6" w:space="0" w:color="auto"/>
              <w:left w:val="nil"/>
              <w:bottom w:val="nil"/>
              <w:right w:val="nil"/>
            </w:tcBorders>
          </w:tcPr>
          <w:p w14:paraId="57F7FDDC" w14:textId="77777777" w:rsidR="00315077" w:rsidRPr="00E066EB" w:rsidRDefault="00315077" w:rsidP="00315077">
            <w:pPr>
              <w:widowControl w:val="0"/>
              <w:autoSpaceDE w:val="0"/>
              <w:autoSpaceDN w:val="0"/>
              <w:adjustRightInd w:val="0"/>
              <w:rPr>
                <w:sz w:val="20"/>
                <w:szCs w:val="20"/>
              </w:rPr>
            </w:pPr>
          </w:p>
        </w:tc>
        <w:tc>
          <w:tcPr>
            <w:tcW w:w="824" w:type="pct"/>
            <w:tcBorders>
              <w:top w:val="single" w:sz="6" w:space="0" w:color="auto"/>
              <w:left w:val="nil"/>
              <w:bottom w:val="nil"/>
              <w:right w:val="nil"/>
            </w:tcBorders>
          </w:tcPr>
          <w:p w14:paraId="5FD2D0A3"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w:t>
            </w:r>
            <w:r>
              <w:rPr>
                <w:sz w:val="20"/>
                <w:szCs w:val="20"/>
              </w:rPr>
              <w:t>1</w:t>
            </w:r>
            <w:r w:rsidRPr="00E066EB">
              <w:rPr>
                <w:sz w:val="20"/>
                <w:szCs w:val="20"/>
              </w:rPr>
              <w:t>)</w:t>
            </w:r>
          </w:p>
        </w:tc>
        <w:tc>
          <w:tcPr>
            <w:tcW w:w="824" w:type="pct"/>
            <w:tcBorders>
              <w:top w:val="single" w:sz="6" w:space="0" w:color="auto"/>
              <w:left w:val="nil"/>
              <w:bottom w:val="nil"/>
              <w:right w:val="nil"/>
            </w:tcBorders>
          </w:tcPr>
          <w:p w14:paraId="359AF6C0" w14:textId="77777777" w:rsidR="00315077" w:rsidRPr="00E066EB" w:rsidRDefault="00315077" w:rsidP="00315077">
            <w:pPr>
              <w:widowControl w:val="0"/>
              <w:autoSpaceDE w:val="0"/>
              <w:autoSpaceDN w:val="0"/>
              <w:adjustRightInd w:val="0"/>
              <w:jc w:val="center"/>
              <w:rPr>
                <w:sz w:val="20"/>
                <w:szCs w:val="20"/>
              </w:rPr>
            </w:pPr>
            <w:r>
              <w:rPr>
                <w:sz w:val="20"/>
                <w:szCs w:val="20"/>
              </w:rPr>
              <w:t>(2)</w:t>
            </w:r>
          </w:p>
        </w:tc>
        <w:tc>
          <w:tcPr>
            <w:tcW w:w="824" w:type="pct"/>
            <w:tcBorders>
              <w:top w:val="single" w:sz="6" w:space="0" w:color="auto"/>
              <w:left w:val="nil"/>
              <w:bottom w:val="nil"/>
              <w:right w:val="nil"/>
            </w:tcBorders>
          </w:tcPr>
          <w:p w14:paraId="14F8EF0E"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w:t>
            </w:r>
            <w:r>
              <w:rPr>
                <w:sz w:val="20"/>
                <w:szCs w:val="20"/>
              </w:rPr>
              <w:t>3</w:t>
            </w:r>
            <w:r w:rsidRPr="00E066EB">
              <w:rPr>
                <w:sz w:val="20"/>
                <w:szCs w:val="20"/>
              </w:rPr>
              <w:t>)</w:t>
            </w:r>
          </w:p>
        </w:tc>
        <w:tc>
          <w:tcPr>
            <w:tcW w:w="824" w:type="pct"/>
            <w:tcBorders>
              <w:top w:val="single" w:sz="6" w:space="0" w:color="auto"/>
              <w:left w:val="nil"/>
              <w:bottom w:val="nil"/>
              <w:right w:val="nil"/>
            </w:tcBorders>
          </w:tcPr>
          <w:p w14:paraId="2CF7B49E"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w:t>
            </w:r>
            <w:r>
              <w:rPr>
                <w:sz w:val="20"/>
                <w:szCs w:val="20"/>
              </w:rPr>
              <w:t>4</w:t>
            </w:r>
            <w:r w:rsidRPr="00E066EB">
              <w:rPr>
                <w:sz w:val="20"/>
                <w:szCs w:val="20"/>
              </w:rPr>
              <w:t>)</w:t>
            </w:r>
          </w:p>
        </w:tc>
        <w:tc>
          <w:tcPr>
            <w:tcW w:w="824" w:type="pct"/>
            <w:tcBorders>
              <w:top w:val="single" w:sz="6" w:space="0" w:color="auto"/>
              <w:left w:val="nil"/>
              <w:bottom w:val="nil"/>
              <w:right w:val="nil"/>
            </w:tcBorders>
          </w:tcPr>
          <w:p w14:paraId="35D8E4A5"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w:t>
            </w:r>
            <w:r>
              <w:rPr>
                <w:sz w:val="20"/>
                <w:szCs w:val="20"/>
              </w:rPr>
              <w:t>5</w:t>
            </w:r>
            <w:r w:rsidRPr="00E066EB">
              <w:rPr>
                <w:sz w:val="20"/>
                <w:szCs w:val="20"/>
              </w:rPr>
              <w:t>)</w:t>
            </w:r>
          </w:p>
        </w:tc>
      </w:tr>
      <w:tr w:rsidR="00315077" w:rsidRPr="00E066EB" w14:paraId="20848B49" w14:textId="77777777" w:rsidTr="00315077">
        <w:trPr>
          <w:jc w:val="center"/>
        </w:trPr>
        <w:tc>
          <w:tcPr>
            <w:tcW w:w="879" w:type="pct"/>
            <w:tcBorders>
              <w:top w:val="nil"/>
              <w:left w:val="nil"/>
              <w:bottom w:val="single" w:sz="6" w:space="0" w:color="auto"/>
              <w:right w:val="nil"/>
            </w:tcBorders>
          </w:tcPr>
          <w:p w14:paraId="0E1FE265" w14:textId="77777777" w:rsidR="00315077" w:rsidRPr="00E066EB" w:rsidRDefault="00315077" w:rsidP="00315077">
            <w:pPr>
              <w:widowControl w:val="0"/>
              <w:autoSpaceDE w:val="0"/>
              <w:autoSpaceDN w:val="0"/>
              <w:adjustRightInd w:val="0"/>
              <w:rPr>
                <w:sz w:val="20"/>
                <w:szCs w:val="20"/>
              </w:rPr>
            </w:pPr>
          </w:p>
        </w:tc>
        <w:tc>
          <w:tcPr>
            <w:tcW w:w="824" w:type="pct"/>
            <w:tcBorders>
              <w:top w:val="nil"/>
              <w:left w:val="nil"/>
              <w:bottom w:val="single" w:sz="6" w:space="0" w:color="auto"/>
              <w:right w:val="nil"/>
            </w:tcBorders>
          </w:tcPr>
          <w:p w14:paraId="783CE9F2"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single" w:sz="6" w:space="0" w:color="auto"/>
              <w:right w:val="nil"/>
            </w:tcBorders>
          </w:tcPr>
          <w:p w14:paraId="53E7DE07"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single" w:sz="6" w:space="0" w:color="auto"/>
              <w:right w:val="nil"/>
            </w:tcBorders>
          </w:tcPr>
          <w:p w14:paraId="013D88CA"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single" w:sz="6" w:space="0" w:color="auto"/>
              <w:right w:val="nil"/>
            </w:tcBorders>
          </w:tcPr>
          <w:p w14:paraId="30B5637B"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single" w:sz="6" w:space="0" w:color="auto"/>
              <w:right w:val="nil"/>
            </w:tcBorders>
          </w:tcPr>
          <w:p w14:paraId="39B64512" w14:textId="77777777" w:rsidR="00315077" w:rsidRPr="00E066EB" w:rsidRDefault="00315077" w:rsidP="00315077">
            <w:pPr>
              <w:widowControl w:val="0"/>
              <w:autoSpaceDE w:val="0"/>
              <w:autoSpaceDN w:val="0"/>
              <w:adjustRightInd w:val="0"/>
              <w:jc w:val="center"/>
              <w:rPr>
                <w:sz w:val="20"/>
                <w:szCs w:val="20"/>
              </w:rPr>
            </w:pPr>
          </w:p>
        </w:tc>
      </w:tr>
      <w:tr w:rsidR="00315077" w:rsidRPr="00E066EB" w14:paraId="5E13C419" w14:textId="77777777" w:rsidTr="00315077">
        <w:trPr>
          <w:jc w:val="center"/>
        </w:trPr>
        <w:tc>
          <w:tcPr>
            <w:tcW w:w="879" w:type="pct"/>
            <w:tcBorders>
              <w:top w:val="nil"/>
              <w:left w:val="nil"/>
              <w:bottom w:val="nil"/>
              <w:right w:val="nil"/>
            </w:tcBorders>
          </w:tcPr>
          <w:p w14:paraId="17E0331C" w14:textId="77777777" w:rsidR="00315077" w:rsidRPr="00E066EB" w:rsidRDefault="00315077" w:rsidP="00315077">
            <w:pPr>
              <w:widowControl w:val="0"/>
              <w:autoSpaceDE w:val="0"/>
              <w:autoSpaceDN w:val="0"/>
              <w:adjustRightInd w:val="0"/>
              <w:rPr>
                <w:sz w:val="20"/>
                <w:szCs w:val="20"/>
              </w:rPr>
            </w:pPr>
          </w:p>
        </w:tc>
        <w:tc>
          <w:tcPr>
            <w:tcW w:w="824" w:type="pct"/>
            <w:tcBorders>
              <w:top w:val="nil"/>
              <w:left w:val="nil"/>
              <w:bottom w:val="nil"/>
              <w:right w:val="nil"/>
            </w:tcBorders>
          </w:tcPr>
          <w:p w14:paraId="0F156682"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430A3895"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7A297E2C"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24DA5A38"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67C3D01D" w14:textId="77777777" w:rsidR="00315077" w:rsidRPr="00E066EB" w:rsidRDefault="00315077" w:rsidP="00315077">
            <w:pPr>
              <w:widowControl w:val="0"/>
              <w:autoSpaceDE w:val="0"/>
              <w:autoSpaceDN w:val="0"/>
              <w:adjustRightInd w:val="0"/>
              <w:jc w:val="center"/>
              <w:rPr>
                <w:sz w:val="20"/>
                <w:szCs w:val="20"/>
              </w:rPr>
            </w:pPr>
          </w:p>
        </w:tc>
      </w:tr>
      <w:tr w:rsidR="00315077" w:rsidRPr="00E066EB" w14:paraId="78F62874" w14:textId="77777777" w:rsidTr="00315077">
        <w:trPr>
          <w:jc w:val="center"/>
        </w:trPr>
        <w:tc>
          <w:tcPr>
            <w:tcW w:w="879" w:type="pct"/>
            <w:tcBorders>
              <w:top w:val="nil"/>
              <w:left w:val="nil"/>
              <w:bottom w:val="nil"/>
              <w:right w:val="nil"/>
            </w:tcBorders>
          </w:tcPr>
          <w:p w14:paraId="3756CB93" w14:textId="77777777" w:rsidR="00315077" w:rsidRPr="00E066EB" w:rsidRDefault="00315077" w:rsidP="00315077">
            <w:pPr>
              <w:widowControl w:val="0"/>
              <w:autoSpaceDE w:val="0"/>
              <w:autoSpaceDN w:val="0"/>
              <w:adjustRightInd w:val="0"/>
              <w:rPr>
                <w:sz w:val="20"/>
                <w:szCs w:val="20"/>
              </w:rPr>
            </w:pPr>
            <w:r w:rsidRPr="00E066EB">
              <w:rPr>
                <w:sz w:val="20"/>
                <w:szCs w:val="20"/>
              </w:rPr>
              <w:t>ROA</w:t>
            </w:r>
          </w:p>
        </w:tc>
        <w:tc>
          <w:tcPr>
            <w:tcW w:w="824" w:type="pct"/>
            <w:tcBorders>
              <w:top w:val="nil"/>
              <w:left w:val="nil"/>
              <w:bottom w:val="nil"/>
              <w:right w:val="nil"/>
            </w:tcBorders>
          </w:tcPr>
          <w:p w14:paraId="17CC8DBD"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0.399*</w:t>
            </w:r>
          </w:p>
        </w:tc>
        <w:tc>
          <w:tcPr>
            <w:tcW w:w="824" w:type="pct"/>
            <w:tcBorders>
              <w:top w:val="nil"/>
              <w:left w:val="nil"/>
              <w:bottom w:val="nil"/>
              <w:right w:val="nil"/>
            </w:tcBorders>
          </w:tcPr>
          <w:p w14:paraId="1D663C24"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761DF88F"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0.468**</w:t>
            </w:r>
          </w:p>
        </w:tc>
        <w:tc>
          <w:tcPr>
            <w:tcW w:w="824" w:type="pct"/>
            <w:tcBorders>
              <w:top w:val="nil"/>
              <w:left w:val="nil"/>
              <w:bottom w:val="nil"/>
              <w:right w:val="nil"/>
            </w:tcBorders>
          </w:tcPr>
          <w:p w14:paraId="76D56ABA"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746C473F" w14:textId="77777777" w:rsidR="00315077" w:rsidRPr="00E066EB" w:rsidRDefault="00315077" w:rsidP="00315077">
            <w:pPr>
              <w:widowControl w:val="0"/>
              <w:autoSpaceDE w:val="0"/>
              <w:autoSpaceDN w:val="0"/>
              <w:adjustRightInd w:val="0"/>
              <w:jc w:val="center"/>
              <w:rPr>
                <w:sz w:val="20"/>
                <w:szCs w:val="20"/>
              </w:rPr>
            </w:pPr>
          </w:p>
        </w:tc>
      </w:tr>
      <w:tr w:rsidR="00315077" w:rsidRPr="00E066EB" w14:paraId="6E9E3D7F" w14:textId="77777777" w:rsidTr="00315077">
        <w:trPr>
          <w:jc w:val="center"/>
        </w:trPr>
        <w:tc>
          <w:tcPr>
            <w:tcW w:w="879" w:type="pct"/>
            <w:tcBorders>
              <w:top w:val="nil"/>
              <w:left w:val="nil"/>
              <w:bottom w:val="nil"/>
              <w:right w:val="nil"/>
            </w:tcBorders>
          </w:tcPr>
          <w:p w14:paraId="167AF1FD" w14:textId="77777777" w:rsidR="00315077" w:rsidRPr="00E066EB" w:rsidRDefault="00315077" w:rsidP="00315077">
            <w:pPr>
              <w:widowControl w:val="0"/>
              <w:autoSpaceDE w:val="0"/>
              <w:autoSpaceDN w:val="0"/>
              <w:adjustRightInd w:val="0"/>
              <w:rPr>
                <w:sz w:val="20"/>
                <w:szCs w:val="20"/>
              </w:rPr>
            </w:pPr>
          </w:p>
        </w:tc>
        <w:tc>
          <w:tcPr>
            <w:tcW w:w="824" w:type="pct"/>
            <w:tcBorders>
              <w:top w:val="nil"/>
              <w:left w:val="nil"/>
              <w:bottom w:val="nil"/>
              <w:right w:val="nil"/>
            </w:tcBorders>
          </w:tcPr>
          <w:p w14:paraId="05A23687"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(0.207)</w:t>
            </w:r>
          </w:p>
        </w:tc>
        <w:tc>
          <w:tcPr>
            <w:tcW w:w="824" w:type="pct"/>
            <w:tcBorders>
              <w:top w:val="nil"/>
              <w:left w:val="nil"/>
              <w:bottom w:val="nil"/>
              <w:right w:val="nil"/>
            </w:tcBorders>
          </w:tcPr>
          <w:p w14:paraId="3B1294B0"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52DEEDE4"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(0.233)</w:t>
            </w:r>
          </w:p>
        </w:tc>
        <w:tc>
          <w:tcPr>
            <w:tcW w:w="824" w:type="pct"/>
            <w:tcBorders>
              <w:top w:val="nil"/>
              <w:left w:val="nil"/>
              <w:bottom w:val="nil"/>
              <w:right w:val="nil"/>
            </w:tcBorders>
          </w:tcPr>
          <w:p w14:paraId="4D592862"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706F084C" w14:textId="77777777" w:rsidR="00315077" w:rsidRPr="00E066EB" w:rsidRDefault="00315077" w:rsidP="00315077">
            <w:pPr>
              <w:widowControl w:val="0"/>
              <w:autoSpaceDE w:val="0"/>
              <w:autoSpaceDN w:val="0"/>
              <w:adjustRightInd w:val="0"/>
              <w:jc w:val="center"/>
              <w:rPr>
                <w:sz w:val="20"/>
                <w:szCs w:val="20"/>
              </w:rPr>
            </w:pPr>
          </w:p>
        </w:tc>
      </w:tr>
      <w:tr w:rsidR="00315077" w:rsidRPr="00E066EB" w14:paraId="344F1DD3" w14:textId="77777777" w:rsidTr="00315077">
        <w:trPr>
          <w:jc w:val="center"/>
        </w:trPr>
        <w:tc>
          <w:tcPr>
            <w:tcW w:w="879" w:type="pct"/>
            <w:tcBorders>
              <w:top w:val="nil"/>
              <w:left w:val="nil"/>
              <w:bottom w:val="nil"/>
              <w:right w:val="nil"/>
            </w:tcBorders>
          </w:tcPr>
          <w:p w14:paraId="47AA34EF" w14:textId="77777777" w:rsidR="00315077" w:rsidRPr="00E066EB" w:rsidRDefault="00315077" w:rsidP="00315077">
            <w:pPr>
              <w:widowControl w:val="0"/>
              <w:autoSpaceDE w:val="0"/>
              <w:autoSpaceDN w:val="0"/>
              <w:adjustRightInd w:val="0"/>
              <w:rPr>
                <w:sz w:val="20"/>
                <w:szCs w:val="20"/>
              </w:rPr>
            </w:pPr>
            <w:r w:rsidRPr="00E066EB">
              <w:rPr>
                <w:sz w:val="20"/>
                <w:szCs w:val="20"/>
              </w:rPr>
              <w:t xml:space="preserve">ROA </w:t>
            </w:r>
            <w:r>
              <w:rPr>
                <w:sz w:val="20"/>
                <w:szCs w:val="20"/>
              </w:rPr>
              <w:t>(Diff)</w:t>
            </w:r>
          </w:p>
        </w:tc>
        <w:tc>
          <w:tcPr>
            <w:tcW w:w="824" w:type="pct"/>
            <w:tcBorders>
              <w:top w:val="nil"/>
              <w:left w:val="nil"/>
              <w:bottom w:val="nil"/>
              <w:right w:val="nil"/>
            </w:tcBorders>
          </w:tcPr>
          <w:p w14:paraId="67BDA224"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71023FCD"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0.606*</w:t>
            </w:r>
          </w:p>
        </w:tc>
        <w:tc>
          <w:tcPr>
            <w:tcW w:w="824" w:type="pct"/>
            <w:tcBorders>
              <w:top w:val="nil"/>
              <w:left w:val="nil"/>
              <w:bottom w:val="nil"/>
              <w:right w:val="nil"/>
            </w:tcBorders>
          </w:tcPr>
          <w:p w14:paraId="7E569DEB"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5BF549B7"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0.546</w:t>
            </w:r>
          </w:p>
        </w:tc>
        <w:tc>
          <w:tcPr>
            <w:tcW w:w="824" w:type="pct"/>
            <w:tcBorders>
              <w:top w:val="nil"/>
              <w:left w:val="nil"/>
              <w:bottom w:val="nil"/>
              <w:right w:val="nil"/>
            </w:tcBorders>
          </w:tcPr>
          <w:p w14:paraId="6C19C95E" w14:textId="77777777" w:rsidR="00315077" w:rsidRPr="00E066EB" w:rsidRDefault="00315077" w:rsidP="00315077">
            <w:pPr>
              <w:widowControl w:val="0"/>
              <w:autoSpaceDE w:val="0"/>
              <w:autoSpaceDN w:val="0"/>
              <w:adjustRightInd w:val="0"/>
              <w:jc w:val="center"/>
              <w:rPr>
                <w:sz w:val="20"/>
                <w:szCs w:val="20"/>
              </w:rPr>
            </w:pPr>
          </w:p>
        </w:tc>
      </w:tr>
      <w:tr w:rsidR="00315077" w:rsidRPr="00E066EB" w14:paraId="51E37C40" w14:textId="77777777" w:rsidTr="00315077">
        <w:trPr>
          <w:jc w:val="center"/>
        </w:trPr>
        <w:tc>
          <w:tcPr>
            <w:tcW w:w="879" w:type="pct"/>
            <w:tcBorders>
              <w:top w:val="nil"/>
              <w:left w:val="nil"/>
              <w:bottom w:val="nil"/>
              <w:right w:val="nil"/>
            </w:tcBorders>
          </w:tcPr>
          <w:p w14:paraId="5A37F919" w14:textId="77777777" w:rsidR="00315077" w:rsidRPr="00E066EB" w:rsidRDefault="00315077" w:rsidP="00315077">
            <w:pPr>
              <w:widowControl w:val="0"/>
              <w:autoSpaceDE w:val="0"/>
              <w:autoSpaceDN w:val="0"/>
              <w:adjustRightInd w:val="0"/>
              <w:rPr>
                <w:sz w:val="20"/>
                <w:szCs w:val="20"/>
              </w:rPr>
            </w:pPr>
          </w:p>
        </w:tc>
        <w:tc>
          <w:tcPr>
            <w:tcW w:w="824" w:type="pct"/>
            <w:tcBorders>
              <w:top w:val="nil"/>
              <w:left w:val="nil"/>
              <w:bottom w:val="nil"/>
              <w:right w:val="nil"/>
            </w:tcBorders>
          </w:tcPr>
          <w:p w14:paraId="305C1EEE"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591B6B0C"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(0.312)</w:t>
            </w:r>
          </w:p>
        </w:tc>
        <w:tc>
          <w:tcPr>
            <w:tcW w:w="824" w:type="pct"/>
            <w:tcBorders>
              <w:top w:val="nil"/>
              <w:left w:val="nil"/>
              <w:bottom w:val="nil"/>
              <w:right w:val="nil"/>
            </w:tcBorders>
          </w:tcPr>
          <w:p w14:paraId="0BE69C5B"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2908FF3D"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(0.332)</w:t>
            </w:r>
          </w:p>
        </w:tc>
        <w:tc>
          <w:tcPr>
            <w:tcW w:w="824" w:type="pct"/>
            <w:tcBorders>
              <w:top w:val="nil"/>
              <w:left w:val="nil"/>
              <w:bottom w:val="nil"/>
              <w:right w:val="nil"/>
            </w:tcBorders>
          </w:tcPr>
          <w:p w14:paraId="59349921" w14:textId="77777777" w:rsidR="00315077" w:rsidRPr="00E066EB" w:rsidRDefault="00315077" w:rsidP="00315077">
            <w:pPr>
              <w:widowControl w:val="0"/>
              <w:autoSpaceDE w:val="0"/>
              <w:autoSpaceDN w:val="0"/>
              <w:adjustRightInd w:val="0"/>
              <w:jc w:val="center"/>
              <w:rPr>
                <w:sz w:val="20"/>
                <w:szCs w:val="20"/>
              </w:rPr>
            </w:pPr>
          </w:p>
        </w:tc>
      </w:tr>
      <w:tr w:rsidR="00315077" w:rsidRPr="00E066EB" w14:paraId="6AE1C4A6" w14:textId="77777777" w:rsidTr="00315077">
        <w:trPr>
          <w:jc w:val="center"/>
        </w:trPr>
        <w:tc>
          <w:tcPr>
            <w:tcW w:w="879" w:type="pct"/>
            <w:tcBorders>
              <w:top w:val="nil"/>
              <w:left w:val="nil"/>
              <w:bottom w:val="nil"/>
              <w:right w:val="nil"/>
            </w:tcBorders>
          </w:tcPr>
          <w:p w14:paraId="1F22875B" w14:textId="77777777" w:rsidR="00315077" w:rsidRPr="00E066EB" w:rsidRDefault="00315077" w:rsidP="00315077">
            <w:pPr>
              <w:widowControl w:val="0"/>
              <w:autoSpaceDE w:val="0"/>
              <w:autoSpaceDN w:val="0"/>
              <w:adjustRightInd w:val="0"/>
              <w:rPr>
                <w:sz w:val="20"/>
                <w:szCs w:val="20"/>
              </w:rPr>
            </w:pPr>
            <w:r w:rsidRPr="00E066EB">
              <w:rPr>
                <w:sz w:val="20"/>
                <w:szCs w:val="20"/>
              </w:rPr>
              <w:t xml:space="preserve">ROA </w:t>
            </w:r>
          </w:p>
        </w:tc>
        <w:tc>
          <w:tcPr>
            <w:tcW w:w="824" w:type="pct"/>
            <w:tcBorders>
              <w:top w:val="nil"/>
              <w:left w:val="nil"/>
              <w:bottom w:val="nil"/>
              <w:right w:val="nil"/>
            </w:tcBorders>
          </w:tcPr>
          <w:p w14:paraId="0AAF7B50"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091A69F5"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555F90D4"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4E43F107"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1F82757B"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-0.436*</w:t>
            </w:r>
          </w:p>
        </w:tc>
      </w:tr>
      <w:tr w:rsidR="00315077" w:rsidRPr="00E066EB" w14:paraId="47FE91E0" w14:textId="77777777" w:rsidTr="00315077">
        <w:trPr>
          <w:jc w:val="center"/>
        </w:trPr>
        <w:tc>
          <w:tcPr>
            <w:tcW w:w="879" w:type="pct"/>
            <w:tcBorders>
              <w:top w:val="nil"/>
              <w:left w:val="nil"/>
              <w:bottom w:val="nil"/>
              <w:right w:val="nil"/>
            </w:tcBorders>
          </w:tcPr>
          <w:p w14:paraId="724213C1" w14:textId="77777777" w:rsidR="00315077" w:rsidRPr="00E066EB" w:rsidRDefault="00315077" w:rsidP="00315077">
            <w:pPr>
              <w:widowControl w:val="0"/>
              <w:autoSpaceDE w:val="0"/>
              <w:autoSpaceDN w:val="0"/>
              <w:adjustRightInd w:val="0"/>
              <w:rPr>
                <w:sz w:val="20"/>
                <w:szCs w:val="20"/>
              </w:rPr>
            </w:pPr>
            <w:r w:rsidRPr="00E066EB">
              <w:rPr>
                <w:sz w:val="20"/>
                <w:szCs w:val="20"/>
              </w:rPr>
              <w:t>(Diff Neg)</w:t>
            </w:r>
          </w:p>
        </w:tc>
        <w:tc>
          <w:tcPr>
            <w:tcW w:w="824" w:type="pct"/>
            <w:tcBorders>
              <w:top w:val="nil"/>
              <w:left w:val="nil"/>
              <w:bottom w:val="nil"/>
              <w:right w:val="nil"/>
            </w:tcBorders>
          </w:tcPr>
          <w:p w14:paraId="6BFCD244"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5D1B5DFB"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7DF159F2"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2F148B1B"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42295DC1"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(0.243)</w:t>
            </w:r>
          </w:p>
        </w:tc>
      </w:tr>
      <w:tr w:rsidR="00315077" w:rsidRPr="00E066EB" w14:paraId="4D528B6C" w14:textId="77777777" w:rsidTr="00315077">
        <w:trPr>
          <w:jc w:val="center"/>
        </w:trPr>
        <w:tc>
          <w:tcPr>
            <w:tcW w:w="879" w:type="pct"/>
            <w:tcBorders>
              <w:top w:val="nil"/>
              <w:left w:val="nil"/>
              <w:bottom w:val="nil"/>
              <w:right w:val="nil"/>
            </w:tcBorders>
          </w:tcPr>
          <w:p w14:paraId="0C2F1346" w14:textId="77777777" w:rsidR="00315077" w:rsidRPr="00E066EB" w:rsidRDefault="00315077" w:rsidP="00315077">
            <w:pPr>
              <w:widowControl w:val="0"/>
              <w:autoSpaceDE w:val="0"/>
              <w:autoSpaceDN w:val="0"/>
              <w:adjustRightInd w:val="0"/>
              <w:rPr>
                <w:sz w:val="20"/>
                <w:szCs w:val="20"/>
              </w:rPr>
            </w:pPr>
            <w:r w:rsidRPr="00E066EB">
              <w:rPr>
                <w:sz w:val="20"/>
                <w:szCs w:val="20"/>
              </w:rPr>
              <w:t xml:space="preserve">Connections </w:t>
            </w:r>
          </w:p>
        </w:tc>
        <w:tc>
          <w:tcPr>
            <w:tcW w:w="824" w:type="pct"/>
            <w:tcBorders>
              <w:top w:val="nil"/>
              <w:left w:val="nil"/>
              <w:bottom w:val="nil"/>
              <w:right w:val="nil"/>
            </w:tcBorders>
          </w:tcPr>
          <w:p w14:paraId="05031031"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6190DE46"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0DABFF4C"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0.292**</w:t>
            </w:r>
          </w:p>
        </w:tc>
        <w:tc>
          <w:tcPr>
            <w:tcW w:w="824" w:type="pct"/>
            <w:tcBorders>
              <w:top w:val="nil"/>
              <w:left w:val="nil"/>
              <w:bottom w:val="nil"/>
              <w:right w:val="nil"/>
            </w:tcBorders>
          </w:tcPr>
          <w:p w14:paraId="1A6DAE40"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0.222</w:t>
            </w:r>
          </w:p>
        </w:tc>
        <w:tc>
          <w:tcPr>
            <w:tcW w:w="824" w:type="pct"/>
            <w:tcBorders>
              <w:top w:val="nil"/>
              <w:left w:val="nil"/>
              <w:bottom w:val="nil"/>
              <w:right w:val="nil"/>
            </w:tcBorders>
          </w:tcPr>
          <w:p w14:paraId="7CC28418"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0.242</w:t>
            </w:r>
          </w:p>
        </w:tc>
      </w:tr>
      <w:tr w:rsidR="00315077" w:rsidRPr="00E066EB" w14:paraId="184F7D33" w14:textId="77777777" w:rsidTr="00315077">
        <w:trPr>
          <w:jc w:val="center"/>
        </w:trPr>
        <w:tc>
          <w:tcPr>
            <w:tcW w:w="879" w:type="pct"/>
            <w:tcBorders>
              <w:top w:val="nil"/>
              <w:left w:val="nil"/>
              <w:bottom w:val="nil"/>
              <w:right w:val="nil"/>
            </w:tcBorders>
          </w:tcPr>
          <w:p w14:paraId="72BB8E11" w14:textId="77777777" w:rsidR="00315077" w:rsidRPr="00E066EB" w:rsidRDefault="00315077" w:rsidP="00315077">
            <w:pPr>
              <w:widowControl w:val="0"/>
              <w:autoSpaceDE w:val="0"/>
              <w:autoSpaceDN w:val="0"/>
              <w:adjustRightInd w:val="0"/>
              <w:rPr>
                <w:sz w:val="20"/>
                <w:szCs w:val="20"/>
              </w:rPr>
            </w:pPr>
            <w:r w:rsidRPr="00E066EB">
              <w:rPr>
                <w:sz w:val="20"/>
                <w:szCs w:val="20"/>
              </w:rPr>
              <w:t>(Cumulative)</w:t>
            </w:r>
          </w:p>
        </w:tc>
        <w:tc>
          <w:tcPr>
            <w:tcW w:w="824" w:type="pct"/>
            <w:tcBorders>
              <w:top w:val="nil"/>
              <w:left w:val="nil"/>
              <w:bottom w:val="nil"/>
              <w:right w:val="nil"/>
            </w:tcBorders>
          </w:tcPr>
          <w:p w14:paraId="2046083B"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39B68232"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29AD8BF0"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(0.149)</w:t>
            </w:r>
          </w:p>
        </w:tc>
        <w:tc>
          <w:tcPr>
            <w:tcW w:w="824" w:type="pct"/>
            <w:tcBorders>
              <w:top w:val="nil"/>
              <w:left w:val="nil"/>
              <w:bottom w:val="nil"/>
              <w:right w:val="nil"/>
            </w:tcBorders>
          </w:tcPr>
          <w:p w14:paraId="01DE2C84"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(0.169)</w:t>
            </w:r>
          </w:p>
        </w:tc>
        <w:tc>
          <w:tcPr>
            <w:tcW w:w="824" w:type="pct"/>
            <w:tcBorders>
              <w:top w:val="nil"/>
              <w:left w:val="nil"/>
              <w:bottom w:val="nil"/>
              <w:right w:val="nil"/>
            </w:tcBorders>
          </w:tcPr>
          <w:p w14:paraId="435E6B84"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(0.169)</w:t>
            </w:r>
          </w:p>
        </w:tc>
      </w:tr>
      <w:tr w:rsidR="00315077" w:rsidRPr="00E066EB" w14:paraId="0F17629B" w14:textId="77777777" w:rsidTr="00315077">
        <w:trPr>
          <w:jc w:val="center"/>
        </w:trPr>
        <w:tc>
          <w:tcPr>
            <w:tcW w:w="879" w:type="pct"/>
            <w:tcBorders>
              <w:top w:val="nil"/>
              <w:left w:val="nil"/>
              <w:bottom w:val="nil"/>
              <w:right w:val="nil"/>
            </w:tcBorders>
          </w:tcPr>
          <w:p w14:paraId="3C82DAA1" w14:textId="77777777" w:rsidR="00315077" w:rsidRPr="00E066EB" w:rsidRDefault="00315077" w:rsidP="00315077">
            <w:pPr>
              <w:widowControl w:val="0"/>
              <w:autoSpaceDE w:val="0"/>
              <w:autoSpaceDN w:val="0"/>
              <w:adjustRightInd w:val="0"/>
              <w:rPr>
                <w:sz w:val="20"/>
                <w:szCs w:val="20"/>
              </w:rPr>
            </w:pPr>
            <w:r w:rsidRPr="00E066EB">
              <w:rPr>
                <w:sz w:val="20"/>
                <w:szCs w:val="20"/>
              </w:rPr>
              <w:t>Experience:</w:t>
            </w:r>
          </w:p>
        </w:tc>
        <w:tc>
          <w:tcPr>
            <w:tcW w:w="824" w:type="pct"/>
            <w:tcBorders>
              <w:top w:val="nil"/>
              <w:left w:val="nil"/>
              <w:bottom w:val="nil"/>
              <w:right w:val="nil"/>
            </w:tcBorders>
          </w:tcPr>
          <w:p w14:paraId="030A28CF"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37CC4A44"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3349EDF8"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363B16B7"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13E3393C" w14:textId="77777777" w:rsidR="00315077" w:rsidRPr="00E066EB" w:rsidRDefault="00315077" w:rsidP="00315077">
            <w:pPr>
              <w:widowControl w:val="0"/>
              <w:autoSpaceDE w:val="0"/>
              <w:autoSpaceDN w:val="0"/>
              <w:adjustRightInd w:val="0"/>
              <w:jc w:val="center"/>
              <w:rPr>
                <w:sz w:val="20"/>
                <w:szCs w:val="20"/>
              </w:rPr>
            </w:pPr>
          </w:p>
        </w:tc>
      </w:tr>
      <w:tr w:rsidR="00315077" w:rsidRPr="00E066EB" w14:paraId="4A6B11EA" w14:textId="77777777" w:rsidTr="00315077">
        <w:trPr>
          <w:jc w:val="center"/>
        </w:trPr>
        <w:tc>
          <w:tcPr>
            <w:tcW w:w="879" w:type="pct"/>
            <w:tcBorders>
              <w:top w:val="nil"/>
              <w:left w:val="nil"/>
              <w:bottom w:val="nil"/>
              <w:right w:val="nil"/>
            </w:tcBorders>
          </w:tcPr>
          <w:p w14:paraId="0F2E8371" w14:textId="77777777" w:rsidR="00315077" w:rsidRPr="00E066EB" w:rsidRDefault="00315077" w:rsidP="00315077">
            <w:pPr>
              <w:widowControl w:val="0"/>
              <w:autoSpaceDE w:val="0"/>
              <w:autoSpaceDN w:val="0"/>
              <w:adjustRightInd w:val="0"/>
              <w:rPr>
                <w:sz w:val="20"/>
                <w:szCs w:val="20"/>
              </w:rPr>
            </w:pPr>
            <w:r>
              <w:rPr>
                <w:sz w:val="20"/>
                <w:szCs w:val="20"/>
              </w:rPr>
              <w:t xml:space="preserve">  </w:t>
            </w:r>
            <w:r w:rsidRPr="00E066EB">
              <w:rPr>
                <w:sz w:val="20"/>
                <w:szCs w:val="20"/>
              </w:rPr>
              <w:t>Central</w:t>
            </w:r>
          </w:p>
        </w:tc>
        <w:tc>
          <w:tcPr>
            <w:tcW w:w="824" w:type="pct"/>
            <w:tcBorders>
              <w:top w:val="nil"/>
              <w:left w:val="nil"/>
              <w:bottom w:val="nil"/>
              <w:right w:val="nil"/>
            </w:tcBorders>
          </w:tcPr>
          <w:p w14:paraId="06754332"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5B9F9108"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138BBEC5"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-0.206</w:t>
            </w:r>
          </w:p>
        </w:tc>
        <w:tc>
          <w:tcPr>
            <w:tcW w:w="824" w:type="pct"/>
            <w:tcBorders>
              <w:top w:val="nil"/>
              <w:left w:val="nil"/>
              <w:bottom w:val="nil"/>
              <w:right w:val="nil"/>
            </w:tcBorders>
          </w:tcPr>
          <w:p w14:paraId="73223D64"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-0.0705</w:t>
            </w:r>
          </w:p>
        </w:tc>
        <w:tc>
          <w:tcPr>
            <w:tcW w:w="824" w:type="pct"/>
            <w:tcBorders>
              <w:top w:val="nil"/>
              <w:left w:val="nil"/>
              <w:bottom w:val="nil"/>
              <w:right w:val="nil"/>
            </w:tcBorders>
          </w:tcPr>
          <w:p w14:paraId="039A1D84"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-0.0928</w:t>
            </w:r>
          </w:p>
        </w:tc>
      </w:tr>
      <w:tr w:rsidR="00315077" w:rsidRPr="00E066EB" w14:paraId="171B1297" w14:textId="77777777" w:rsidTr="00315077">
        <w:trPr>
          <w:jc w:val="center"/>
        </w:trPr>
        <w:tc>
          <w:tcPr>
            <w:tcW w:w="879" w:type="pct"/>
            <w:tcBorders>
              <w:top w:val="nil"/>
              <w:left w:val="nil"/>
              <w:bottom w:val="nil"/>
              <w:right w:val="nil"/>
            </w:tcBorders>
          </w:tcPr>
          <w:p w14:paraId="089B2A5C" w14:textId="77777777" w:rsidR="00315077" w:rsidRPr="00E066EB" w:rsidRDefault="00315077" w:rsidP="00315077">
            <w:pPr>
              <w:widowControl w:val="0"/>
              <w:autoSpaceDE w:val="0"/>
              <w:autoSpaceDN w:val="0"/>
              <w:adjustRightInd w:val="0"/>
              <w:rPr>
                <w:sz w:val="20"/>
                <w:szCs w:val="20"/>
              </w:rPr>
            </w:pPr>
          </w:p>
        </w:tc>
        <w:tc>
          <w:tcPr>
            <w:tcW w:w="824" w:type="pct"/>
            <w:tcBorders>
              <w:top w:val="nil"/>
              <w:left w:val="nil"/>
              <w:bottom w:val="nil"/>
              <w:right w:val="nil"/>
            </w:tcBorders>
          </w:tcPr>
          <w:p w14:paraId="43B4B18F"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060CA640"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2E529CEC"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(0.388)</w:t>
            </w:r>
          </w:p>
        </w:tc>
        <w:tc>
          <w:tcPr>
            <w:tcW w:w="824" w:type="pct"/>
            <w:tcBorders>
              <w:top w:val="nil"/>
              <w:left w:val="nil"/>
              <w:bottom w:val="nil"/>
              <w:right w:val="nil"/>
            </w:tcBorders>
          </w:tcPr>
          <w:p w14:paraId="325AE200"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(0.421)</w:t>
            </w:r>
          </w:p>
        </w:tc>
        <w:tc>
          <w:tcPr>
            <w:tcW w:w="824" w:type="pct"/>
            <w:tcBorders>
              <w:top w:val="nil"/>
              <w:left w:val="nil"/>
              <w:bottom w:val="nil"/>
              <w:right w:val="nil"/>
            </w:tcBorders>
          </w:tcPr>
          <w:p w14:paraId="639CF2CA"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(0.414)</w:t>
            </w:r>
          </w:p>
        </w:tc>
      </w:tr>
      <w:tr w:rsidR="00315077" w:rsidRPr="00E066EB" w14:paraId="7B27F577" w14:textId="77777777" w:rsidTr="00315077">
        <w:trPr>
          <w:jc w:val="center"/>
        </w:trPr>
        <w:tc>
          <w:tcPr>
            <w:tcW w:w="879" w:type="pct"/>
            <w:tcBorders>
              <w:top w:val="nil"/>
              <w:left w:val="nil"/>
              <w:bottom w:val="nil"/>
              <w:right w:val="nil"/>
            </w:tcBorders>
          </w:tcPr>
          <w:p w14:paraId="04A4F138" w14:textId="77777777" w:rsidR="00315077" w:rsidRPr="00E066EB" w:rsidRDefault="00315077" w:rsidP="00315077">
            <w:pPr>
              <w:widowControl w:val="0"/>
              <w:autoSpaceDE w:val="0"/>
              <w:autoSpaceDN w:val="0"/>
              <w:adjustRightInd w:val="0"/>
              <w:rPr>
                <w:sz w:val="20"/>
                <w:szCs w:val="20"/>
              </w:rPr>
            </w:pPr>
            <w:r>
              <w:rPr>
                <w:sz w:val="20"/>
                <w:szCs w:val="20"/>
              </w:rPr>
              <w:t xml:space="preserve">  </w:t>
            </w:r>
            <w:r w:rsidRPr="00E066EB">
              <w:rPr>
                <w:sz w:val="20"/>
                <w:szCs w:val="20"/>
              </w:rPr>
              <w:t>Local</w:t>
            </w:r>
          </w:p>
        </w:tc>
        <w:tc>
          <w:tcPr>
            <w:tcW w:w="824" w:type="pct"/>
            <w:tcBorders>
              <w:top w:val="nil"/>
              <w:left w:val="nil"/>
              <w:bottom w:val="nil"/>
              <w:right w:val="nil"/>
            </w:tcBorders>
          </w:tcPr>
          <w:p w14:paraId="46C693F6"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4B271B0F"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3645EE5C"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0.104</w:t>
            </w:r>
          </w:p>
        </w:tc>
        <w:tc>
          <w:tcPr>
            <w:tcW w:w="824" w:type="pct"/>
            <w:tcBorders>
              <w:top w:val="nil"/>
              <w:left w:val="nil"/>
              <w:bottom w:val="nil"/>
              <w:right w:val="nil"/>
            </w:tcBorders>
          </w:tcPr>
          <w:p w14:paraId="33D60615"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0.0419</w:t>
            </w:r>
          </w:p>
        </w:tc>
        <w:tc>
          <w:tcPr>
            <w:tcW w:w="824" w:type="pct"/>
            <w:tcBorders>
              <w:top w:val="nil"/>
              <w:left w:val="nil"/>
              <w:bottom w:val="nil"/>
              <w:right w:val="nil"/>
            </w:tcBorders>
          </w:tcPr>
          <w:p w14:paraId="34B4121F"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0.0551</w:t>
            </w:r>
          </w:p>
        </w:tc>
      </w:tr>
      <w:tr w:rsidR="00315077" w:rsidRPr="00E066EB" w14:paraId="33FCF8C3" w14:textId="77777777" w:rsidTr="00315077">
        <w:trPr>
          <w:jc w:val="center"/>
        </w:trPr>
        <w:tc>
          <w:tcPr>
            <w:tcW w:w="879" w:type="pct"/>
            <w:tcBorders>
              <w:top w:val="nil"/>
              <w:left w:val="nil"/>
              <w:bottom w:val="nil"/>
              <w:right w:val="nil"/>
            </w:tcBorders>
          </w:tcPr>
          <w:p w14:paraId="4700DE00" w14:textId="77777777" w:rsidR="00315077" w:rsidRPr="00E066EB" w:rsidRDefault="00315077" w:rsidP="00315077">
            <w:pPr>
              <w:widowControl w:val="0"/>
              <w:autoSpaceDE w:val="0"/>
              <w:autoSpaceDN w:val="0"/>
              <w:adjustRightInd w:val="0"/>
              <w:rPr>
                <w:sz w:val="20"/>
                <w:szCs w:val="20"/>
              </w:rPr>
            </w:pPr>
          </w:p>
        </w:tc>
        <w:tc>
          <w:tcPr>
            <w:tcW w:w="824" w:type="pct"/>
            <w:tcBorders>
              <w:top w:val="nil"/>
              <w:left w:val="nil"/>
              <w:bottom w:val="nil"/>
              <w:right w:val="nil"/>
            </w:tcBorders>
          </w:tcPr>
          <w:p w14:paraId="075184F0"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5D65A3FB"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1F50C840"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(0.266)</w:t>
            </w:r>
          </w:p>
        </w:tc>
        <w:tc>
          <w:tcPr>
            <w:tcW w:w="824" w:type="pct"/>
            <w:tcBorders>
              <w:top w:val="nil"/>
              <w:left w:val="nil"/>
              <w:bottom w:val="nil"/>
              <w:right w:val="nil"/>
            </w:tcBorders>
          </w:tcPr>
          <w:p w14:paraId="791F0096"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(0.291)</w:t>
            </w:r>
          </w:p>
        </w:tc>
        <w:tc>
          <w:tcPr>
            <w:tcW w:w="824" w:type="pct"/>
            <w:tcBorders>
              <w:top w:val="nil"/>
              <w:left w:val="nil"/>
              <w:bottom w:val="nil"/>
              <w:right w:val="nil"/>
            </w:tcBorders>
          </w:tcPr>
          <w:p w14:paraId="35666351"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(0.292)</w:t>
            </w:r>
          </w:p>
        </w:tc>
      </w:tr>
      <w:tr w:rsidR="00315077" w:rsidRPr="00E066EB" w14:paraId="4AC37A1C" w14:textId="77777777" w:rsidTr="00315077">
        <w:trPr>
          <w:jc w:val="center"/>
        </w:trPr>
        <w:tc>
          <w:tcPr>
            <w:tcW w:w="879" w:type="pct"/>
            <w:tcBorders>
              <w:top w:val="nil"/>
              <w:left w:val="nil"/>
              <w:bottom w:val="nil"/>
              <w:right w:val="nil"/>
            </w:tcBorders>
          </w:tcPr>
          <w:p w14:paraId="0AE01E9E" w14:textId="77777777" w:rsidR="00315077" w:rsidRPr="00E066EB" w:rsidRDefault="00315077" w:rsidP="00315077">
            <w:pPr>
              <w:widowControl w:val="0"/>
              <w:autoSpaceDE w:val="0"/>
              <w:autoSpaceDN w:val="0"/>
              <w:adjustRightInd w:val="0"/>
              <w:rPr>
                <w:sz w:val="20"/>
                <w:szCs w:val="20"/>
              </w:rPr>
            </w:pPr>
            <w:r w:rsidRPr="00E066EB">
              <w:rPr>
                <w:sz w:val="20"/>
                <w:szCs w:val="20"/>
              </w:rPr>
              <w:t xml:space="preserve">Leadership </w:t>
            </w:r>
          </w:p>
        </w:tc>
        <w:tc>
          <w:tcPr>
            <w:tcW w:w="824" w:type="pct"/>
            <w:tcBorders>
              <w:top w:val="nil"/>
              <w:left w:val="nil"/>
              <w:bottom w:val="nil"/>
              <w:right w:val="nil"/>
            </w:tcBorders>
          </w:tcPr>
          <w:p w14:paraId="53035BB4"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42E1ED18"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7051905A"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-0.0908**</w:t>
            </w:r>
          </w:p>
        </w:tc>
        <w:tc>
          <w:tcPr>
            <w:tcW w:w="824" w:type="pct"/>
            <w:tcBorders>
              <w:top w:val="nil"/>
              <w:left w:val="nil"/>
              <w:bottom w:val="nil"/>
              <w:right w:val="nil"/>
            </w:tcBorders>
          </w:tcPr>
          <w:p w14:paraId="041BB659"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-0.0711</w:t>
            </w:r>
          </w:p>
        </w:tc>
        <w:tc>
          <w:tcPr>
            <w:tcW w:w="824" w:type="pct"/>
            <w:tcBorders>
              <w:top w:val="nil"/>
              <w:left w:val="nil"/>
              <w:bottom w:val="nil"/>
              <w:right w:val="nil"/>
            </w:tcBorders>
          </w:tcPr>
          <w:p w14:paraId="362F2C4E"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-0.0663</w:t>
            </w:r>
          </w:p>
        </w:tc>
      </w:tr>
      <w:tr w:rsidR="00315077" w:rsidRPr="00E066EB" w14:paraId="6906517A" w14:textId="77777777" w:rsidTr="00315077">
        <w:trPr>
          <w:jc w:val="center"/>
        </w:trPr>
        <w:tc>
          <w:tcPr>
            <w:tcW w:w="879" w:type="pct"/>
            <w:tcBorders>
              <w:top w:val="nil"/>
              <w:left w:val="nil"/>
              <w:bottom w:val="nil"/>
              <w:right w:val="nil"/>
            </w:tcBorders>
          </w:tcPr>
          <w:p w14:paraId="483072D7" w14:textId="77777777" w:rsidR="00315077" w:rsidRPr="00E066EB" w:rsidRDefault="00315077" w:rsidP="00315077">
            <w:pPr>
              <w:widowControl w:val="0"/>
              <w:autoSpaceDE w:val="0"/>
              <w:autoSpaceDN w:val="0"/>
              <w:adjustRightInd w:val="0"/>
              <w:rPr>
                <w:sz w:val="20"/>
                <w:szCs w:val="20"/>
              </w:rPr>
            </w:pPr>
            <w:r w:rsidRPr="00E066EB">
              <w:rPr>
                <w:sz w:val="20"/>
                <w:szCs w:val="20"/>
              </w:rPr>
              <w:t>Years</w:t>
            </w:r>
          </w:p>
        </w:tc>
        <w:tc>
          <w:tcPr>
            <w:tcW w:w="824" w:type="pct"/>
            <w:tcBorders>
              <w:top w:val="nil"/>
              <w:left w:val="nil"/>
              <w:bottom w:val="nil"/>
              <w:right w:val="nil"/>
            </w:tcBorders>
          </w:tcPr>
          <w:p w14:paraId="05B286D0"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2CEA91D6"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3DE98207"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(0.0428)</w:t>
            </w:r>
          </w:p>
        </w:tc>
        <w:tc>
          <w:tcPr>
            <w:tcW w:w="824" w:type="pct"/>
            <w:tcBorders>
              <w:top w:val="nil"/>
              <w:left w:val="nil"/>
              <w:bottom w:val="nil"/>
              <w:right w:val="nil"/>
            </w:tcBorders>
          </w:tcPr>
          <w:p w14:paraId="422E24BA"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(0.0481)</w:t>
            </w:r>
          </w:p>
        </w:tc>
        <w:tc>
          <w:tcPr>
            <w:tcW w:w="824" w:type="pct"/>
            <w:tcBorders>
              <w:top w:val="nil"/>
              <w:left w:val="nil"/>
              <w:bottom w:val="nil"/>
              <w:right w:val="nil"/>
            </w:tcBorders>
          </w:tcPr>
          <w:p w14:paraId="7F43D9C5"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(0.0481)</w:t>
            </w:r>
          </w:p>
        </w:tc>
      </w:tr>
      <w:tr w:rsidR="00315077" w:rsidRPr="00E066EB" w14:paraId="7C784833" w14:textId="77777777" w:rsidTr="00315077">
        <w:trPr>
          <w:jc w:val="center"/>
        </w:trPr>
        <w:tc>
          <w:tcPr>
            <w:tcW w:w="879" w:type="pct"/>
            <w:tcBorders>
              <w:top w:val="nil"/>
              <w:left w:val="nil"/>
              <w:bottom w:val="nil"/>
              <w:right w:val="nil"/>
            </w:tcBorders>
          </w:tcPr>
          <w:p w14:paraId="3270995A" w14:textId="77777777" w:rsidR="00315077" w:rsidRPr="00E066EB" w:rsidRDefault="00315077" w:rsidP="00315077">
            <w:pPr>
              <w:widowControl w:val="0"/>
              <w:autoSpaceDE w:val="0"/>
              <w:autoSpaceDN w:val="0"/>
              <w:adjustRightInd w:val="0"/>
              <w:rPr>
                <w:sz w:val="20"/>
                <w:szCs w:val="20"/>
              </w:rPr>
            </w:pPr>
            <w:r w:rsidRPr="00E066EB">
              <w:rPr>
                <w:sz w:val="20"/>
                <w:szCs w:val="20"/>
              </w:rPr>
              <w:t>Party School</w:t>
            </w:r>
          </w:p>
        </w:tc>
        <w:tc>
          <w:tcPr>
            <w:tcW w:w="824" w:type="pct"/>
            <w:tcBorders>
              <w:top w:val="nil"/>
              <w:left w:val="nil"/>
              <w:bottom w:val="nil"/>
              <w:right w:val="nil"/>
            </w:tcBorders>
          </w:tcPr>
          <w:p w14:paraId="24B7D7FB"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0.310</w:t>
            </w:r>
          </w:p>
        </w:tc>
        <w:tc>
          <w:tcPr>
            <w:tcW w:w="824" w:type="pct"/>
            <w:tcBorders>
              <w:top w:val="nil"/>
              <w:left w:val="nil"/>
              <w:bottom w:val="nil"/>
              <w:right w:val="nil"/>
            </w:tcBorders>
          </w:tcPr>
          <w:p w14:paraId="3BE57A32"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0.337</w:t>
            </w:r>
          </w:p>
        </w:tc>
        <w:tc>
          <w:tcPr>
            <w:tcW w:w="824" w:type="pct"/>
            <w:tcBorders>
              <w:top w:val="nil"/>
              <w:left w:val="nil"/>
              <w:bottom w:val="nil"/>
              <w:right w:val="nil"/>
            </w:tcBorders>
          </w:tcPr>
          <w:p w14:paraId="6D8DAAFA"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0.578</w:t>
            </w:r>
          </w:p>
        </w:tc>
        <w:tc>
          <w:tcPr>
            <w:tcW w:w="824" w:type="pct"/>
            <w:tcBorders>
              <w:top w:val="nil"/>
              <w:left w:val="nil"/>
              <w:bottom w:val="nil"/>
              <w:right w:val="nil"/>
            </w:tcBorders>
          </w:tcPr>
          <w:p w14:paraId="6EE5185A"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0.615</w:t>
            </w:r>
          </w:p>
        </w:tc>
        <w:tc>
          <w:tcPr>
            <w:tcW w:w="824" w:type="pct"/>
            <w:tcBorders>
              <w:top w:val="nil"/>
              <w:left w:val="nil"/>
              <w:bottom w:val="nil"/>
              <w:right w:val="nil"/>
            </w:tcBorders>
          </w:tcPr>
          <w:p w14:paraId="65E42550"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0.578</w:t>
            </w:r>
          </w:p>
        </w:tc>
      </w:tr>
      <w:tr w:rsidR="00315077" w:rsidRPr="00E066EB" w14:paraId="5D8995DC" w14:textId="77777777" w:rsidTr="00315077">
        <w:trPr>
          <w:jc w:val="center"/>
        </w:trPr>
        <w:tc>
          <w:tcPr>
            <w:tcW w:w="879" w:type="pct"/>
            <w:tcBorders>
              <w:top w:val="nil"/>
              <w:left w:val="nil"/>
              <w:bottom w:val="nil"/>
              <w:right w:val="nil"/>
            </w:tcBorders>
          </w:tcPr>
          <w:p w14:paraId="2D76BA13" w14:textId="77777777" w:rsidR="00315077" w:rsidRPr="00E066EB" w:rsidRDefault="00315077" w:rsidP="00315077">
            <w:pPr>
              <w:widowControl w:val="0"/>
              <w:autoSpaceDE w:val="0"/>
              <w:autoSpaceDN w:val="0"/>
              <w:adjustRightInd w:val="0"/>
              <w:rPr>
                <w:sz w:val="20"/>
                <w:szCs w:val="20"/>
              </w:rPr>
            </w:pPr>
          </w:p>
        </w:tc>
        <w:tc>
          <w:tcPr>
            <w:tcW w:w="824" w:type="pct"/>
            <w:tcBorders>
              <w:top w:val="nil"/>
              <w:left w:val="nil"/>
              <w:bottom w:val="nil"/>
              <w:right w:val="nil"/>
            </w:tcBorders>
          </w:tcPr>
          <w:p w14:paraId="3ECD33F5"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(0.492)</w:t>
            </w:r>
          </w:p>
        </w:tc>
        <w:tc>
          <w:tcPr>
            <w:tcW w:w="824" w:type="pct"/>
            <w:tcBorders>
              <w:top w:val="nil"/>
              <w:left w:val="nil"/>
              <w:bottom w:val="nil"/>
              <w:right w:val="nil"/>
            </w:tcBorders>
          </w:tcPr>
          <w:p w14:paraId="614F1BAA"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(0.519)</w:t>
            </w:r>
          </w:p>
        </w:tc>
        <w:tc>
          <w:tcPr>
            <w:tcW w:w="824" w:type="pct"/>
            <w:tcBorders>
              <w:top w:val="nil"/>
              <w:left w:val="nil"/>
              <w:bottom w:val="nil"/>
              <w:right w:val="nil"/>
            </w:tcBorders>
          </w:tcPr>
          <w:p w14:paraId="32E5248C"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(0.623)</w:t>
            </w:r>
          </w:p>
        </w:tc>
        <w:tc>
          <w:tcPr>
            <w:tcW w:w="824" w:type="pct"/>
            <w:tcBorders>
              <w:top w:val="nil"/>
              <w:left w:val="nil"/>
              <w:bottom w:val="nil"/>
              <w:right w:val="nil"/>
            </w:tcBorders>
          </w:tcPr>
          <w:p w14:paraId="1BB7D5E5"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(0.639)</w:t>
            </w:r>
          </w:p>
        </w:tc>
        <w:tc>
          <w:tcPr>
            <w:tcW w:w="824" w:type="pct"/>
            <w:tcBorders>
              <w:top w:val="nil"/>
              <w:left w:val="nil"/>
              <w:bottom w:val="nil"/>
              <w:right w:val="nil"/>
            </w:tcBorders>
          </w:tcPr>
          <w:p w14:paraId="76956D28"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(0.637)</w:t>
            </w:r>
          </w:p>
        </w:tc>
      </w:tr>
      <w:tr w:rsidR="00315077" w:rsidRPr="00E066EB" w14:paraId="0C326F50" w14:textId="77777777" w:rsidTr="00315077">
        <w:trPr>
          <w:jc w:val="center"/>
        </w:trPr>
        <w:tc>
          <w:tcPr>
            <w:tcW w:w="879" w:type="pct"/>
            <w:tcBorders>
              <w:top w:val="nil"/>
              <w:left w:val="nil"/>
              <w:bottom w:val="nil"/>
              <w:right w:val="nil"/>
            </w:tcBorders>
          </w:tcPr>
          <w:p w14:paraId="0246FC5B" w14:textId="77777777" w:rsidR="00315077" w:rsidRPr="00E066EB" w:rsidRDefault="00315077" w:rsidP="00315077">
            <w:pPr>
              <w:widowControl w:val="0"/>
              <w:autoSpaceDE w:val="0"/>
              <w:autoSpaceDN w:val="0"/>
              <w:adjustRightInd w:val="0"/>
              <w:rPr>
                <w:sz w:val="20"/>
                <w:szCs w:val="20"/>
              </w:rPr>
            </w:pPr>
            <w:r w:rsidRPr="00E066EB">
              <w:rPr>
                <w:sz w:val="20"/>
                <w:szCs w:val="20"/>
              </w:rPr>
              <w:t>Age</w:t>
            </w:r>
          </w:p>
        </w:tc>
        <w:tc>
          <w:tcPr>
            <w:tcW w:w="824" w:type="pct"/>
            <w:tcBorders>
              <w:top w:val="nil"/>
              <w:left w:val="nil"/>
              <w:bottom w:val="nil"/>
              <w:right w:val="nil"/>
            </w:tcBorders>
          </w:tcPr>
          <w:p w14:paraId="784BE3F4"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2.197***</w:t>
            </w:r>
          </w:p>
        </w:tc>
        <w:tc>
          <w:tcPr>
            <w:tcW w:w="824" w:type="pct"/>
            <w:tcBorders>
              <w:top w:val="nil"/>
              <w:left w:val="nil"/>
              <w:bottom w:val="nil"/>
              <w:right w:val="nil"/>
            </w:tcBorders>
          </w:tcPr>
          <w:p w14:paraId="127510FD"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2.309***</w:t>
            </w:r>
          </w:p>
        </w:tc>
        <w:tc>
          <w:tcPr>
            <w:tcW w:w="824" w:type="pct"/>
            <w:tcBorders>
              <w:top w:val="nil"/>
              <w:left w:val="nil"/>
              <w:bottom w:val="nil"/>
              <w:right w:val="nil"/>
            </w:tcBorders>
          </w:tcPr>
          <w:p w14:paraId="3019825E"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1.923***</w:t>
            </w:r>
          </w:p>
        </w:tc>
        <w:tc>
          <w:tcPr>
            <w:tcW w:w="824" w:type="pct"/>
            <w:tcBorders>
              <w:top w:val="nil"/>
              <w:left w:val="nil"/>
              <w:bottom w:val="nil"/>
              <w:right w:val="nil"/>
            </w:tcBorders>
          </w:tcPr>
          <w:p w14:paraId="5DAB1C6D"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2.061***</w:t>
            </w:r>
          </w:p>
        </w:tc>
        <w:tc>
          <w:tcPr>
            <w:tcW w:w="824" w:type="pct"/>
            <w:tcBorders>
              <w:top w:val="nil"/>
              <w:left w:val="nil"/>
              <w:bottom w:val="nil"/>
              <w:right w:val="nil"/>
            </w:tcBorders>
          </w:tcPr>
          <w:p w14:paraId="086E57FE"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2.015***</w:t>
            </w:r>
          </w:p>
        </w:tc>
      </w:tr>
      <w:tr w:rsidR="00315077" w:rsidRPr="00E066EB" w14:paraId="51D77B29" w14:textId="77777777" w:rsidTr="00315077">
        <w:trPr>
          <w:jc w:val="center"/>
        </w:trPr>
        <w:tc>
          <w:tcPr>
            <w:tcW w:w="879" w:type="pct"/>
            <w:tcBorders>
              <w:top w:val="nil"/>
              <w:left w:val="nil"/>
              <w:bottom w:val="nil"/>
              <w:right w:val="nil"/>
            </w:tcBorders>
          </w:tcPr>
          <w:p w14:paraId="05E500D8" w14:textId="77777777" w:rsidR="00315077" w:rsidRPr="00E066EB" w:rsidRDefault="00315077" w:rsidP="00315077">
            <w:pPr>
              <w:widowControl w:val="0"/>
              <w:autoSpaceDE w:val="0"/>
              <w:autoSpaceDN w:val="0"/>
              <w:adjustRightInd w:val="0"/>
              <w:rPr>
                <w:sz w:val="20"/>
                <w:szCs w:val="20"/>
              </w:rPr>
            </w:pPr>
          </w:p>
        </w:tc>
        <w:tc>
          <w:tcPr>
            <w:tcW w:w="824" w:type="pct"/>
            <w:tcBorders>
              <w:top w:val="nil"/>
              <w:left w:val="nil"/>
              <w:bottom w:val="nil"/>
              <w:right w:val="nil"/>
            </w:tcBorders>
          </w:tcPr>
          <w:p w14:paraId="3D5E1B76"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(0.369)</w:t>
            </w:r>
          </w:p>
        </w:tc>
        <w:tc>
          <w:tcPr>
            <w:tcW w:w="824" w:type="pct"/>
            <w:tcBorders>
              <w:top w:val="nil"/>
              <w:left w:val="nil"/>
              <w:bottom w:val="nil"/>
              <w:right w:val="nil"/>
            </w:tcBorders>
          </w:tcPr>
          <w:p w14:paraId="5E505229"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(0.445)</w:t>
            </w:r>
          </w:p>
        </w:tc>
        <w:tc>
          <w:tcPr>
            <w:tcW w:w="824" w:type="pct"/>
            <w:tcBorders>
              <w:top w:val="nil"/>
              <w:left w:val="nil"/>
              <w:bottom w:val="nil"/>
              <w:right w:val="nil"/>
            </w:tcBorders>
          </w:tcPr>
          <w:p w14:paraId="4A6CD5FF"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(0.387)</w:t>
            </w:r>
          </w:p>
        </w:tc>
        <w:tc>
          <w:tcPr>
            <w:tcW w:w="824" w:type="pct"/>
            <w:tcBorders>
              <w:top w:val="nil"/>
              <w:left w:val="nil"/>
              <w:bottom w:val="nil"/>
              <w:right w:val="nil"/>
            </w:tcBorders>
          </w:tcPr>
          <w:p w14:paraId="4C5A6F14"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(0.461)</w:t>
            </w:r>
          </w:p>
        </w:tc>
        <w:tc>
          <w:tcPr>
            <w:tcW w:w="824" w:type="pct"/>
            <w:tcBorders>
              <w:top w:val="nil"/>
              <w:left w:val="nil"/>
              <w:bottom w:val="nil"/>
              <w:right w:val="nil"/>
            </w:tcBorders>
          </w:tcPr>
          <w:p w14:paraId="44642B21"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(0.469)</w:t>
            </w:r>
          </w:p>
        </w:tc>
      </w:tr>
      <w:tr w:rsidR="00315077" w:rsidRPr="00E066EB" w14:paraId="53EC9E1B" w14:textId="77777777" w:rsidTr="00315077">
        <w:trPr>
          <w:jc w:val="center"/>
        </w:trPr>
        <w:tc>
          <w:tcPr>
            <w:tcW w:w="879" w:type="pct"/>
            <w:tcBorders>
              <w:top w:val="nil"/>
              <w:left w:val="nil"/>
              <w:bottom w:val="nil"/>
              <w:right w:val="nil"/>
            </w:tcBorders>
          </w:tcPr>
          <w:p w14:paraId="529CBC7E" w14:textId="77777777" w:rsidR="00315077" w:rsidRPr="00E066EB" w:rsidRDefault="00315077" w:rsidP="00315077">
            <w:pPr>
              <w:widowControl w:val="0"/>
              <w:autoSpaceDE w:val="0"/>
              <w:autoSpaceDN w:val="0"/>
              <w:adjustRightInd w:val="0"/>
              <w:rPr>
                <w:sz w:val="20"/>
                <w:szCs w:val="20"/>
              </w:rPr>
            </w:pPr>
            <w:r>
              <w:rPr>
                <w:sz w:val="20"/>
                <w:szCs w:val="20"/>
              </w:rPr>
              <w:t>Age Squared</w:t>
            </w:r>
          </w:p>
        </w:tc>
        <w:tc>
          <w:tcPr>
            <w:tcW w:w="824" w:type="pct"/>
            <w:tcBorders>
              <w:top w:val="nil"/>
              <w:left w:val="nil"/>
              <w:bottom w:val="nil"/>
              <w:right w:val="nil"/>
            </w:tcBorders>
          </w:tcPr>
          <w:p w14:paraId="61F81D7D"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-0.0222***</w:t>
            </w:r>
          </w:p>
        </w:tc>
        <w:tc>
          <w:tcPr>
            <w:tcW w:w="824" w:type="pct"/>
            <w:tcBorders>
              <w:top w:val="nil"/>
              <w:left w:val="nil"/>
              <w:bottom w:val="nil"/>
              <w:right w:val="nil"/>
            </w:tcBorders>
          </w:tcPr>
          <w:p w14:paraId="06903DF3"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-0.0230***</w:t>
            </w:r>
          </w:p>
        </w:tc>
        <w:tc>
          <w:tcPr>
            <w:tcW w:w="824" w:type="pct"/>
            <w:tcBorders>
              <w:top w:val="nil"/>
              <w:left w:val="nil"/>
              <w:bottom w:val="nil"/>
              <w:right w:val="nil"/>
            </w:tcBorders>
          </w:tcPr>
          <w:p w14:paraId="66A53837"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-0.0194***</w:t>
            </w:r>
          </w:p>
        </w:tc>
        <w:tc>
          <w:tcPr>
            <w:tcW w:w="824" w:type="pct"/>
            <w:tcBorders>
              <w:top w:val="nil"/>
              <w:left w:val="nil"/>
              <w:bottom w:val="nil"/>
              <w:right w:val="nil"/>
            </w:tcBorders>
          </w:tcPr>
          <w:p w14:paraId="6B6A84DF"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-0.0206***</w:t>
            </w:r>
          </w:p>
        </w:tc>
        <w:tc>
          <w:tcPr>
            <w:tcW w:w="824" w:type="pct"/>
            <w:tcBorders>
              <w:top w:val="nil"/>
              <w:left w:val="nil"/>
              <w:bottom w:val="nil"/>
              <w:right w:val="nil"/>
            </w:tcBorders>
          </w:tcPr>
          <w:p w14:paraId="7078589E"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-0.0201***</w:t>
            </w:r>
          </w:p>
        </w:tc>
      </w:tr>
      <w:tr w:rsidR="00315077" w:rsidRPr="00E066EB" w14:paraId="66B5CD15" w14:textId="77777777" w:rsidTr="00315077">
        <w:trPr>
          <w:jc w:val="center"/>
        </w:trPr>
        <w:tc>
          <w:tcPr>
            <w:tcW w:w="879" w:type="pct"/>
            <w:tcBorders>
              <w:top w:val="nil"/>
              <w:left w:val="nil"/>
              <w:bottom w:val="nil"/>
              <w:right w:val="nil"/>
            </w:tcBorders>
          </w:tcPr>
          <w:p w14:paraId="377A63A0" w14:textId="77777777" w:rsidR="00315077" w:rsidRPr="00E066EB" w:rsidRDefault="00315077" w:rsidP="00315077">
            <w:pPr>
              <w:widowControl w:val="0"/>
              <w:autoSpaceDE w:val="0"/>
              <w:autoSpaceDN w:val="0"/>
              <w:adjustRightInd w:val="0"/>
              <w:rPr>
                <w:sz w:val="20"/>
                <w:szCs w:val="20"/>
              </w:rPr>
            </w:pPr>
          </w:p>
        </w:tc>
        <w:tc>
          <w:tcPr>
            <w:tcW w:w="824" w:type="pct"/>
            <w:tcBorders>
              <w:top w:val="nil"/>
              <w:left w:val="nil"/>
              <w:bottom w:val="nil"/>
              <w:right w:val="nil"/>
            </w:tcBorders>
          </w:tcPr>
          <w:p w14:paraId="6D4CC797"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(0.00348)</w:t>
            </w:r>
          </w:p>
        </w:tc>
        <w:tc>
          <w:tcPr>
            <w:tcW w:w="824" w:type="pct"/>
            <w:tcBorders>
              <w:top w:val="nil"/>
              <w:left w:val="nil"/>
              <w:bottom w:val="nil"/>
              <w:right w:val="nil"/>
            </w:tcBorders>
          </w:tcPr>
          <w:p w14:paraId="3591DD39"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(0.00417)</w:t>
            </w:r>
          </w:p>
        </w:tc>
        <w:tc>
          <w:tcPr>
            <w:tcW w:w="824" w:type="pct"/>
            <w:tcBorders>
              <w:top w:val="nil"/>
              <w:left w:val="nil"/>
              <w:bottom w:val="nil"/>
              <w:right w:val="nil"/>
            </w:tcBorders>
          </w:tcPr>
          <w:p w14:paraId="37E0A6CE"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(0.00366)</w:t>
            </w:r>
          </w:p>
        </w:tc>
        <w:tc>
          <w:tcPr>
            <w:tcW w:w="824" w:type="pct"/>
            <w:tcBorders>
              <w:top w:val="nil"/>
              <w:left w:val="nil"/>
              <w:bottom w:val="nil"/>
              <w:right w:val="nil"/>
            </w:tcBorders>
          </w:tcPr>
          <w:p w14:paraId="406BF12C"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(0.00432)</w:t>
            </w:r>
          </w:p>
        </w:tc>
        <w:tc>
          <w:tcPr>
            <w:tcW w:w="824" w:type="pct"/>
            <w:tcBorders>
              <w:top w:val="nil"/>
              <w:left w:val="nil"/>
              <w:bottom w:val="nil"/>
              <w:right w:val="nil"/>
            </w:tcBorders>
          </w:tcPr>
          <w:p w14:paraId="080FF1A4"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(0.00440)</w:t>
            </w:r>
          </w:p>
        </w:tc>
      </w:tr>
      <w:tr w:rsidR="00315077" w:rsidRPr="00E066EB" w14:paraId="639912B4" w14:textId="77777777" w:rsidTr="00315077">
        <w:trPr>
          <w:jc w:val="center"/>
        </w:trPr>
        <w:tc>
          <w:tcPr>
            <w:tcW w:w="879" w:type="pct"/>
            <w:tcBorders>
              <w:top w:val="nil"/>
              <w:left w:val="nil"/>
              <w:bottom w:val="nil"/>
              <w:right w:val="nil"/>
            </w:tcBorders>
          </w:tcPr>
          <w:p w14:paraId="67899AC8" w14:textId="77777777" w:rsidR="00315077" w:rsidRPr="00E066EB" w:rsidRDefault="00315077" w:rsidP="00315077">
            <w:pPr>
              <w:widowControl w:val="0"/>
              <w:autoSpaceDE w:val="0"/>
              <w:autoSpaceDN w:val="0"/>
              <w:adjustRightInd w:val="0"/>
              <w:rPr>
                <w:sz w:val="20"/>
                <w:szCs w:val="20"/>
              </w:rPr>
            </w:pPr>
            <w:r w:rsidRPr="00E066EB">
              <w:rPr>
                <w:sz w:val="20"/>
                <w:szCs w:val="20"/>
              </w:rPr>
              <w:t>Grad</w:t>
            </w:r>
            <w:r>
              <w:rPr>
                <w:sz w:val="20"/>
                <w:szCs w:val="20"/>
              </w:rPr>
              <w:t>.</w:t>
            </w:r>
            <w:r w:rsidRPr="00E066EB">
              <w:rPr>
                <w:sz w:val="20"/>
                <w:szCs w:val="20"/>
              </w:rPr>
              <w:t xml:space="preserve"> Degree</w:t>
            </w:r>
          </w:p>
        </w:tc>
        <w:tc>
          <w:tcPr>
            <w:tcW w:w="824" w:type="pct"/>
            <w:tcBorders>
              <w:top w:val="nil"/>
              <w:left w:val="nil"/>
              <w:bottom w:val="nil"/>
              <w:right w:val="nil"/>
            </w:tcBorders>
          </w:tcPr>
          <w:p w14:paraId="2503EA09"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0.141</w:t>
            </w:r>
          </w:p>
        </w:tc>
        <w:tc>
          <w:tcPr>
            <w:tcW w:w="824" w:type="pct"/>
            <w:tcBorders>
              <w:top w:val="nil"/>
              <w:left w:val="nil"/>
              <w:bottom w:val="nil"/>
              <w:right w:val="nil"/>
            </w:tcBorders>
          </w:tcPr>
          <w:p w14:paraId="22362D05"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0.171</w:t>
            </w:r>
          </w:p>
        </w:tc>
        <w:tc>
          <w:tcPr>
            <w:tcW w:w="824" w:type="pct"/>
            <w:tcBorders>
              <w:top w:val="nil"/>
              <w:left w:val="nil"/>
              <w:bottom w:val="nil"/>
              <w:right w:val="nil"/>
            </w:tcBorders>
          </w:tcPr>
          <w:p w14:paraId="1369D2D0"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0.249</w:t>
            </w:r>
          </w:p>
        </w:tc>
        <w:tc>
          <w:tcPr>
            <w:tcW w:w="824" w:type="pct"/>
            <w:tcBorders>
              <w:top w:val="nil"/>
              <w:left w:val="nil"/>
              <w:bottom w:val="nil"/>
              <w:right w:val="nil"/>
            </w:tcBorders>
          </w:tcPr>
          <w:p w14:paraId="5DC93FAA"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0.298</w:t>
            </w:r>
          </w:p>
        </w:tc>
        <w:tc>
          <w:tcPr>
            <w:tcW w:w="824" w:type="pct"/>
            <w:tcBorders>
              <w:top w:val="nil"/>
              <w:left w:val="nil"/>
              <w:bottom w:val="nil"/>
              <w:right w:val="nil"/>
            </w:tcBorders>
          </w:tcPr>
          <w:p w14:paraId="0C9C4F40"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0.289</w:t>
            </w:r>
          </w:p>
        </w:tc>
      </w:tr>
      <w:tr w:rsidR="00315077" w:rsidRPr="00E066EB" w14:paraId="76AEC2A5" w14:textId="77777777" w:rsidTr="00315077">
        <w:trPr>
          <w:jc w:val="center"/>
        </w:trPr>
        <w:tc>
          <w:tcPr>
            <w:tcW w:w="879" w:type="pct"/>
            <w:tcBorders>
              <w:top w:val="nil"/>
              <w:left w:val="nil"/>
              <w:bottom w:val="nil"/>
              <w:right w:val="nil"/>
            </w:tcBorders>
          </w:tcPr>
          <w:p w14:paraId="026F7609" w14:textId="77777777" w:rsidR="00315077" w:rsidRPr="00E066EB" w:rsidRDefault="00315077" w:rsidP="00315077">
            <w:pPr>
              <w:widowControl w:val="0"/>
              <w:autoSpaceDE w:val="0"/>
              <w:autoSpaceDN w:val="0"/>
              <w:adjustRightInd w:val="0"/>
              <w:rPr>
                <w:sz w:val="20"/>
                <w:szCs w:val="20"/>
              </w:rPr>
            </w:pPr>
          </w:p>
        </w:tc>
        <w:tc>
          <w:tcPr>
            <w:tcW w:w="824" w:type="pct"/>
            <w:tcBorders>
              <w:top w:val="nil"/>
              <w:left w:val="nil"/>
              <w:bottom w:val="nil"/>
              <w:right w:val="nil"/>
            </w:tcBorders>
          </w:tcPr>
          <w:p w14:paraId="090FE74D"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(0.278)</w:t>
            </w:r>
          </w:p>
        </w:tc>
        <w:tc>
          <w:tcPr>
            <w:tcW w:w="824" w:type="pct"/>
            <w:tcBorders>
              <w:top w:val="nil"/>
              <w:left w:val="nil"/>
              <w:bottom w:val="nil"/>
              <w:right w:val="nil"/>
            </w:tcBorders>
          </w:tcPr>
          <w:p w14:paraId="42293903"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(0.289)</w:t>
            </w:r>
          </w:p>
        </w:tc>
        <w:tc>
          <w:tcPr>
            <w:tcW w:w="824" w:type="pct"/>
            <w:tcBorders>
              <w:top w:val="nil"/>
              <w:left w:val="nil"/>
              <w:bottom w:val="nil"/>
              <w:right w:val="nil"/>
            </w:tcBorders>
          </w:tcPr>
          <w:p w14:paraId="427CEFDD"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(0.322)</w:t>
            </w:r>
          </w:p>
        </w:tc>
        <w:tc>
          <w:tcPr>
            <w:tcW w:w="824" w:type="pct"/>
            <w:tcBorders>
              <w:top w:val="nil"/>
              <w:left w:val="nil"/>
              <w:bottom w:val="nil"/>
              <w:right w:val="nil"/>
            </w:tcBorders>
          </w:tcPr>
          <w:p w14:paraId="4E0ABC4A"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(0.338)</w:t>
            </w:r>
          </w:p>
        </w:tc>
        <w:tc>
          <w:tcPr>
            <w:tcW w:w="824" w:type="pct"/>
            <w:tcBorders>
              <w:top w:val="nil"/>
              <w:left w:val="nil"/>
              <w:bottom w:val="nil"/>
              <w:right w:val="nil"/>
            </w:tcBorders>
          </w:tcPr>
          <w:p w14:paraId="0CE635E8"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(0.337)</w:t>
            </w:r>
          </w:p>
        </w:tc>
      </w:tr>
      <w:tr w:rsidR="00315077" w:rsidRPr="00E066EB" w14:paraId="779BDF6A" w14:textId="77777777" w:rsidTr="00315077">
        <w:trPr>
          <w:jc w:val="center"/>
        </w:trPr>
        <w:tc>
          <w:tcPr>
            <w:tcW w:w="879" w:type="pct"/>
            <w:tcBorders>
              <w:top w:val="nil"/>
              <w:left w:val="nil"/>
              <w:bottom w:val="nil"/>
              <w:right w:val="nil"/>
            </w:tcBorders>
          </w:tcPr>
          <w:p w14:paraId="296E2B14" w14:textId="77777777" w:rsidR="00315077" w:rsidRPr="00E066EB" w:rsidRDefault="00315077" w:rsidP="00315077">
            <w:pPr>
              <w:widowControl w:val="0"/>
              <w:autoSpaceDE w:val="0"/>
              <w:autoSpaceDN w:val="0"/>
              <w:adjustRightInd w:val="0"/>
              <w:rPr>
                <w:sz w:val="20"/>
                <w:szCs w:val="20"/>
              </w:rPr>
            </w:pPr>
            <w:r w:rsidRPr="00E066EB">
              <w:rPr>
                <w:sz w:val="20"/>
                <w:szCs w:val="20"/>
              </w:rPr>
              <w:t>Xi</w:t>
            </w:r>
          </w:p>
        </w:tc>
        <w:tc>
          <w:tcPr>
            <w:tcW w:w="824" w:type="pct"/>
            <w:tcBorders>
              <w:top w:val="nil"/>
              <w:left w:val="nil"/>
              <w:bottom w:val="nil"/>
              <w:right w:val="nil"/>
            </w:tcBorders>
          </w:tcPr>
          <w:p w14:paraId="027770EA"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-0.160</w:t>
            </w:r>
          </w:p>
        </w:tc>
        <w:tc>
          <w:tcPr>
            <w:tcW w:w="824" w:type="pct"/>
            <w:tcBorders>
              <w:top w:val="nil"/>
              <w:left w:val="nil"/>
              <w:bottom w:val="nil"/>
              <w:right w:val="nil"/>
            </w:tcBorders>
          </w:tcPr>
          <w:p w14:paraId="3B3381E5"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-0.374</w:t>
            </w:r>
          </w:p>
        </w:tc>
        <w:tc>
          <w:tcPr>
            <w:tcW w:w="824" w:type="pct"/>
            <w:tcBorders>
              <w:top w:val="nil"/>
              <w:left w:val="nil"/>
              <w:bottom w:val="nil"/>
              <w:right w:val="nil"/>
            </w:tcBorders>
          </w:tcPr>
          <w:p w14:paraId="420B1392"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0.0313</w:t>
            </w:r>
          </w:p>
        </w:tc>
        <w:tc>
          <w:tcPr>
            <w:tcW w:w="824" w:type="pct"/>
            <w:tcBorders>
              <w:top w:val="nil"/>
              <w:left w:val="nil"/>
              <w:bottom w:val="nil"/>
              <w:right w:val="nil"/>
            </w:tcBorders>
          </w:tcPr>
          <w:p w14:paraId="3DFAAFAA"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-0.185</w:t>
            </w:r>
          </w:p>
        </w:tc>
        <w:tc>
          <w:tcPr>
            <w:tcW w:w="824" w:type="pct"/>
            <w:tcBorders>
              <w:top w:val="nil"/>
              <w:left w:val="nil"/>
              <w:bottom w:val="nil"/>
              <w:right w:val="nil"/>
            </w:tcBorders>
          </w:tcPr>
          <w:p w14:paraId="5531EE9D"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-0.130</w:t>
            </w:r>
          </w:p>
        </w:tc>
      </w:tr>
      <w:tr w:rsidR="00315077" w:rsidRPr="00E066EB" w14:paraId="6C4958E7" w14:textId="77777777" w:rsidTr="00315077">
        <w:trPr>
          <w:jc w:val="center"/>
        </w:trPr>
        <w:tc>
          <w:tcPr>
            <w:tcW w:w="879" w:type="pct"/>
            <w:tcBorders>
              <w:top w:val="nil"/>
              <w:left w:val="nil"/>
              <w:bottom w:val="nil"/>
              <w:right w:val="nil"/>
            </w:tcBorders>
          </w:tcPr>
          <w:p w14:paraId="31D6D24E" w14:textId="77777777" w:rsidR="00315077" w:rsidRPr="00E066EB" w:rsidRDefault="00315077" w:rsidP="00315077">
            <w:pPr>
              <w:widowControl w:val="0"/>
              <w:autoSpaceDE w:val="0"/>
              <w:autoSpaceDN w:val="0"/>
              <w:adjustRightInd w:val="0"/>
              <w:rPr>
                <w:sz w:val="20"/>
                <w:szCs w:val="20"/>
              </w:rPr>
            </w:pPr>
          </w:p>
        </w:tc>
        <w:tc>
          <w:tcPr>
            <w:tcW w:w="824" w:type="pct"/>
            <w:tcBorders>
              <w:top w:val="nil"/>
              <w:left w:val="nil"/>
              <w:bottom w:val="nil"/>
              <w:right w:val="nil"/>
            </w:tcBorders>
          </w:tcPr>
          <w:p w14:paraId="194ECA4A"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(0.225)</w:t>
            </w:r>
          </w:p>
        </w:tc>
        <w:tc>
          <w:tcPr>
            <w:tcW w:w="824" w:type="pct"/>
            <w:tcBorders>
              <w:top w:val="nil"/>
              <w:left w:val="nil"/>
              <w:bottom w:val="nil"/>
              <w:right w:val="nil"/>
            </w:tcBorders>
          </w:tcPr>
          <w:p w14:paraId="7EB32516"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(0.245)</w:t>
            </w:r>
          </w:p>
        </w:tc>
        <w:tc>
          <w:tcPr>
            <w:tcW w:w="824" w:type="pct"/>
            <w:tcBorders>
              <w:top w:val="nil"/>
              <w:left w:val="nil"/>
              <w:bottom w:val="nil"/>
              <w:right w:val="nil"/>
            </w:tcBorders>
          </w:tcPr>
          <w:p w14:paraId="39A2C3A4"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(0.228)</w:t>
            </w:r>
          </w:p>
        </w:tc>
        <w:tc>
          <w:tcPr>
            <w:tcW w:w="824" w:type="pct"/>
            <w:tcBorders>
              <w:top w:val="nil"/>
              <w:left w:val="nil"/>
              <w:bottom w:val="nil"/>
              <w:right w:val="nil"/>
            </w:tcBorders>
          </w:tcPr>
          <w:p w14:paraId="34382DCA"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(0.251)</w:t>
            </w:r>
          </w:p>
        </w:tc>
        <w:tc>
          <w:tcPr>
            <w:tcW w:w="824" w:type="pct"/>
            <w:tcBorders>
              <w:top w:val="nil"/>
              <w:left w:val="nil"/>
              <w:bottom w:val="nil"/>
              <w:right w:val="nil"/>
            </w:tcBorders>
          </w:tcPr>
          <w:p w14:paraId="6A417599"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(0.239)</w:t>
            </w:r>
          </w:p>
        </w:tc>
      </w:tr>
      <w:tr w:rsidR="00315077" w:rsidRPr="00E066EB" w14:paraId="6D919329" w14:textId="77777777" w:rsidTr="00315077">
        <w:trPr>
          <w:jc w:val="center"/>
        </w:trPr>
        <w:tc>
          <w:tcPr>
            <w:tcW w:w="879" w:type="pct"/>
            <w:tcBorders>
              <w:top w:val="nil"/>
              <w:left w:val="nil"/>
              <w:bottom w:val="nil"/>
              <w:right w:val="nil"/>
            </w:tcBorders>
          </w:tcPr>
          <w:p w14:paraId="54E48C74" w14:textId="77777777" w:rsidR="00315077" w:rsidRPr="00E066EB" w:rsidRDefault="00315077" w:rsidP="00315077">
            <w:pPr>
              <w:widowControl w:val="0"/>
              <w:autoSpaceDE w:val="0"/>
              <w:autoSpaceDN w:val="0"/>
              <w:adjustRightInd w:val="0"/>
              <w:rPr>
                <w:sz w:val="20"/>
                <w:szCs w:val="20"/>
              </w:rPr>
            </w:pPr>
            <w:r w:rsidRPr="00E066EB">
              <w:rPr>
                <w:sz w:val="20"/>
                <w:szCs w:val="20"/>
              </w:rPr>
              <w:t>Constant</w:t>
            </w:r>
          </w:p>
        </w:tc>
        <w:tc>
          <w:tcPr>
            <w:tcW w:w="824" w:type="pct"/>
            <w:tcBorders>
              <w:top w:val="nil"/>
              <w:left w:val="nil"/>
              <w:bottom w:val="nil"/>
              <w:right w:val="nil"/>
            </w:tcBorders>
          </w:tcPr>
          <w:p w14:paraId="5EED25C4"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-50.26***</w:t>
            </w:r>
          </w:p>
        </w:tc>
        <w:tc>
          <w:tcPr>
            <w:tcW w:w="824" w:type="pct"/>
            <w:tcBorders>
              <w:top w:val="nil"/>
              <w:left w:val="nil"/>
              <w:bottom w:val="nil"/>
              <w:right w:val="nil"/>
            </w:tcBorders>
          </w:tcPr>
          <w:p w14:paraId="4ACEB20F"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-53.57***</w:t>
            </w:r>
          </w:p>
        </w:tc>
        <w:tc>
          <w:tcPr>
            <w:tcW w:w="824" w:type="pct"/>
            <w:tcBorders>
              <w:top w:val="nil"/>
              <w:left w:val="nil"/>
              <w:bottom w:val="nil"/>
              <w:right w:val="nil"/>
            </w:tcBorders>
          </w:tcPr>
          <w:p w14:paraId="7691CBD4"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-43.63***</w:t>
            </w:r>
          </w:p>
        </w:tc>
        <w:tc>
          <w:tcPr>
            <w:tcW w:w="824" w:type="pct"/>
            <w:tcBorders>
              <w:top w:val="nil"/>
              <w:left w:val="nil"/>
              <w:bottom w:val="nil"/>
              <w:right w:val="nil"/>
            </w:tcBorders>
          </w:tcPr>
          <w:p w14:paraId="524570D0"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-47.30***</w:t>
            </w:r>
          </w:p>
        </w:tc>
        <w:tc>
          <w:tcPr>
            <w:tcW w:w="824" w:type="pct"/>
            <w:tcBorders>
              <w:top w:val="nil"/>
              <w:left w:val="nil"/>
              <w:bottom w:val="nil"/>
              <w:right w:val="nil"/>
            </w:tcBorders>
          </w:tcPr>
          <w:p w14:paraId="4D05AB83"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-45.86***</w:t>
            </w:r>
          </w:p>
        </w:tc>
      </w:tr>
      <w:tr w:rsidR="00315077" w:rsidRPr="00E066EB" w14:paraId="6045F1AF" w14:textId="77777777" w:rsidTr="00315077">
        <w:trPr>
          <w:jc w:val="center"/>
        </w:trPr>
        <w:tc>
          <w:tcPr>
            <w:tcW w:w="879" w:type="pct"/>
            <w:tcBorders>
              <w:top w:val="nil"/>
              <w:left w:val="nil"/>
              <w:bottom w:val="nil"/>
              <w:right w:val="nil"/>
            </w:tcBorders>
          </w:tcPr>
          <w:p w14:paraId="04C76C2E" w14:textId="77777777" w:rsidR="00315077" w:rsidRPr="00E066EB" w:rsidRDefault="00315077" w:rsidP="00315077">
            <w:pPr>
              <w:widowControl w:val="0"/>
              <w:autoSpaceDE w:val="0"/>
              <w:autoSpaceDN w:val="0"/>
              <w:adjustRightInd w:val="0"/>
              <w:rPr>
                <w:sz w:val="20"/>
                <w:szCs w:val="20"/>
              </w:rPr>
            </w:pPr>
          </w:p>
        </w:tc>
        <w:tc>
          <w:tcPr>
            <w:tcW w:w="824" w:type="pct"/>
            <w:tcBorders>
              <w:top w:val="nil"/>
              <w:left w:val="nil"/>
              <w:bottom w:val="nil"/>
              <w:right w:val="nil"/>
            </w:tcBorders>
          </w:tcPr>
          <w:p w14:paraId="718DE3EB"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(9.547)</w:t>
            </w:r>
          </w:p>
        </w:tc>
        <w:tc>
          <w:tcPr>
            <w:tcW w:w="824" w:type="pct"/>
            <w:tcBorders>
              <w:top w:val="nil"/>
              <w:left w:val="nil"/>
              <w:bottom w:val="nil"/>
              <w:right w:val="nil"/>
            </w:tcBorders>
          </w:tcPr>
          <w:p w14:paraId="6B6DABF3"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(11.63)</w:t>
            </w:r>
          </w:p>
        </w:tc>
        <w:tc>
          <w:tcPr>
            <w:tcW w:w="824" w:type="pct"/>
            <w:tcBorders>
              <w:top w:val="nil"/>
              <w:left w:val="nil"/>
              <w:bottom w:val="nil"/>
              <w:right w:val="nil"/>
            </w:tcBorders>
          </w:tcPr>
          <w:p w14:paraId="696A7399"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(10.07)</w:t>
            </w:r>
          </w:p>
        </w:tc>
        <w:tc>
          <w:tcPr>
            <w:tcW w:w="824" w:type="pct"/>
            <w:tcBorders>
              <w:top w:val="nil"/>
              <w:left w:val="nil"/>
              <w:bottom w:val="nil"/>
              <w:right w:val="nil"/>
            </w:tcBorders>
          </w:tcPr>
          <w:p w14:paraId="33E1AB32"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(12.12)</w:t>
            </w:r>
          </w:p>
        </w:tc>
        <w:tc>
          <w:tcPr>
            <w:tcW w:w="824" w:type="pct"/>
            <w:tcBorders>
              <w:top w:val="nil"/>
              <w:left w:val="nil"/>
              <w:bottom w:val="nil"/>
              <w:right w:val="nil"/>
            </w:tcBorders>
          </w:tcPr>
          <w:p w14:paraId="7371653E"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(12.35)</w:t>
            </w:r>
          </w:p>
        </w:tc>
      </w:tr>
      <w:tr w:rsidR="00315077" w:rsidRPr="00E066EB" w14:paraId="303C7620" w14:textId="77777777" w:rsidTr="00315077">
        <w:trPr>
          <w:jc w:val="center"/>
        </w:trPr>
        <w:tc>
          <w:tcPr>
            <w:tcW w:w="879" w:type="pct"/>
            <w:tcBorders>
              <w:top w:val="nil"/>
              <w:left w:val="nil"/>
              <w:bottom w:val="nil"/>
              <w:right w:val="nil"/>
            </w:tcBorders>
          </w:tcPr>
          <w:p w14:paraId="7655B1A5" w14:textId="77777777" w:rsidR="00315077" w:rsidRPr="00E066EB" w:rsidRDefault="00315077" w:rsidP="00315077">
            <w:pPr>
              <w:widowControl w:val="0"/>
              <w:autoSpaceDE w:val="0"/>
              <w:autoSpaceDN w:val="0"/>
              <w:adjustRightInd w:val="0"/>
              <w:rPr>
                <w:sz w:val="20"/>
                <w:szCs w:val="20"/>
              </w:rPr>
            </w:pPr>
          </w:p>
        </w:tc>
        <w:tc>
          <w:tcPr>
            <w:tcW w:w="824" w:type="pct"/>
            <w:tcBorders>
              <w:top w:val="nil"/>
              <w:left w:val="nil"/>
              <w:bottom w:val="nil"/>
              <w:right w:val="nil"/>
            </w:tcBorders>
          </w:tcPr>
          <w:p w14:paraId="508CF66F"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4AD6E4F4"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311A3C4F"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56886A1B" w14:textId="77777777" w:rsidR="00315077" w:rsidRPr="00E066EB" w:rsidRDefault="00315077" w:rsidP="00315077">
            <w:pPr>
              <w:widowControl w:val="0"/>
              <w:autoSpaceDE w:val="0"/>
              <w:autoSpaceDN w:val="0"/>
              <w:adjustRightInd w:val="0"/>
              <w:jc w:val="center"/>
              <w:rPr>
                <w:sz w:val="20"/>
                <w:szCs w:val="20"/>
              </w:rPr>
            </w:pPr>
          </w:p>
        </w:tc>
        <w:tc>
          <w:tcPr>
            <w:tcW w:w="824" w:type="pct"/>
            <w:tcBorders>
              <w:top w:val="nil"/>
              <w:left w:val="nil"/>
              <w:bottom w:val="nil"/>
              <w:right w:val="nil"/>
            </w:tcBorders>
          </w:tcPr>
          <w:p w14:paraId="4A5B6B9E" w14:textId="77777777" w:rsidR="00315077" w:rsidRPr="00E066EB" w:rsidRDefault="00315077" w:rsidP="00315077">
            <w:pPr>
              <w:widowControl w:val="0"/>
              <w:autoSpaceDE w:val="0"/>
              <w:autoSpaceDN w:val="0"/>
              <w:adjustRightInd w:val="0"/>
              <w:jc w:val="center"/>
              <w:rPr>
                <w:sz w:val="20"/>
                <w:szCs w:val="20"/>
              </w:rPr>
            </w:pPr>
          </w:p>
        </w:tc>
      </w:tr>
      <w:tr w:rsidR="00315077" w:rsidRPr="00E066EB" w14:paraId="7EEC971B" w14:textId="77777777" w:rsidTr="00315077">
        <w:trPr>
          <w:jc w:val="center"/>
        </w:trPr>
        <w:tc>
          <w:tcPr>
            <w:tcW w:w="879" w:type="pct"/>
            <w:tcBorders>
              <w:top w:val="nil"/>
              <w:left w:val="nil"/>
              <w:bottom w:val="nil"/>
              <w:right w:val="nil"/>
            </w:tcBorders>
          </w:tcPr>
          <w:p w14:paraId="1A8C686B" w14:textId="77777777" w:rsidR="00315077" w:rsidRPr="00E066EB" w:rsidRDefault="00315077" w:rsidP="00315077">
            <w:pPr>
              <w:widowControl w:val="0"/>
              <w:autoSpaceDE w:val="0"/>
              <w:autoSpaceDN w:val="0"/>
              <w:adjustRightInd w:val="0"/>
              <w:rPr>
                <w:sz w:val="20"/>
                <w:szCs w:val="20"/>
              </w:rPr>
            </w:pPr>
            <w:r w:rsidRPr="00E066EB">
              <w:rPr>
                <w:sz w:val="20"/>
                <w:szCs w:val="20"/>
              </w:rPr>
              <w:t>Observations</w:t>
            </w:r>
          </w:p>
        </w:tc>
        <w:tc>
          <w:tcPr>
            <w:tcW w:w="824" w:type="pct"/>
            <w:tcBorders>
              <w:top w:val="nil"/>
              <w:left w:val="nil"/>
              <w:bottom w:val="nil"/>
              <w:right w:val="nil"/>
            </w:tcBorders>
          </w:tcPr>
          <w:p w14:paraId="178E8C97"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1,109</w:t>
            </w:r>
          </w:p>
        </w:tc>
        <w:tc>
          <w:tcPr>
            <w:tcW w:w="824" w:type="pct"/>
            <w:tcBorders>
              <w:top w:val="nil"/>
              <w:left w:val="nil"/>
              <w:bottom w:val="nil"/>
              <w:right w:val="nil"/>
            </w:tcBorders>
          </w:tcPr>
          <w:p w14:paraId="52B44DC7"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881</w:t>
            </w:r>
          </w:p>
        </w:tc>
        <w:tc>
          <w:tcPr>
            <w:tcW w:w="824" w:type="pct"/>
            <w:tcBorders>
              <w:top w:val="nil"/>
              <w:left w:val="nil"/>
              <w:bottom w:val="nil"/>
              <w:right w:val="nil"/>
            </w:tcBorders>
          </w:tcPr>
          <w:p w14:paraId="6A18ABB9"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1,045</w:t>
            </w:r>
          </w:p>
        </w:tc>
        <w:tc>
          <w:tcPr>
            <w:tcW w:w="824" w:type="pct"/>
            <w:tcBorders>
              <w:top w:val="nil"/>
              <w:left w:val="nil"/>
              <w:bottom w:val="nil"/>
              <w:right w:val="nil"/>
            </w:tcBorders>
          </w:tcPr>
          <w:p w14:paraId="4F80CFA4"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826</w:t>
            </w:r>
          </w:p>
        </w:tc>
        <w:tc>
          <w:tcPr>
            <w:tcW w:w="824" w:type="pct"/>
            <w:tcBorders>
              <w:top w:val="nil"/>
              <w:left w:val="nil"/>
              <w:bottom w:val="nil"/>
              <w:right w:val="nil"/>
            </w:tcBorders>
          </w:tcPr>
          <w:p w14:paraId="1BAAB4F3"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826</w:t>
            </w:r>
          </w:p>
        </w:tc>
      </w:tr>
      <w:tr w:rsidR="00315077" w:rsidRPr="00E066EB" w14:paraId="6853C7A2" w14:textId="77777777" w:rsidTr="00315077">
        <w:tblPrEx>
          <w:tblBorders>
            <w:bottom w:val="single" w:sz="6" w:space="0" w:color="auto"/>
          </w:tblBorders>
        </w:tblPrEx>
        <w:trPr>
          <w:jc w:val="center"/>
        </w:trPr>
        <w:tc>
          <w:tcPr>
            <w:tcW w:w="879" w:type="pct"/>
            <w:tcBorders>
              <w:top w:val="nil"/>
              <w:left w:val="nil"/>
              <w:bottom w:val="single" w:sz="6" w:space="0" w:color="auto"/>
              <w:right w:val="nil"/>
            </w:tcBorders>
          </w:tcPr>
          <w:p w14:paraId="556DD5ED" w14:textId="77777777" w:rsidR="00315077" w:rsidRPr="00E066EB" w:rsidRDefault="00315077" w:rsidP="00315077">
            <w:pPr>
              <w:widowControl w:val="0"/>
              <w:autoSpaceDE w:val="0"/>
              <w:autoSpaceDN w:val="0"/>
              <w:adjustRightInd w:val="0"/>
              <w:rPr>
                <w:sz w:val="20"/>
                <w:szCs w:val="20"/>
              </w:rPr>
            </w:pPr>
            <w:r w:rsidRPr="00E066EB">
              <w:rPr>
                <w:sz w:val="20"/>
                <w:szCs w:val="20"/>
              </w:rPr>
              <w:t>Pseudo R2</w:t>
            </w:r>
          </w:p>
        </w:tc>
        <w:tc>
          <w:tcPr>
            <w:tcW w:w="824" w:type="pct"/>
            <w:tcBorders>
              <w:top w:val="nil"/>
              <w:left w:val="nil"/>
              <w:bottom w:val="single" w:sz="6" w:space="0" w:color="auto"/>
              <w:right w:val="nil"/>
            </w:tcBorders>
          </w:tcPr>
          <w:p w14:paraId="71B4CD52"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0.213</w:t>
            </w:r>
          </w:p>
        </w:tc>
        <w:tc>
          <w:tcPr>
            <w:tcW w:w="824" w:type="pct"/>
            <w:tcBorders>
              <w:top w:val="nil"/>
              <w:left w:val="nil"/>
              <w:bottom w:val="single" w:sz="6" w:space="0" w:color="auto"/>
              <w:right w:val="nil"/>
            </w:tcBorders>
          </w:tcPr>
          <w:p w14:paraId="4035B607"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0.206</w:t>
            </w:r>
          </w:p>
        </w:tc>
        <w:tc>
          <w:tcPr>
            <w:tcW w:w="824" w:type="pct"/>
            <w:tcBorders>
              <w:top w:val="nil"/>
              <w:left w:val="nil"/>
              <w:bottom w:val="single" w:sz="6" w:space="0" w:color="auto"/>
              <w:right w:val="nil"/>
            </w:tcBorders>
          </w:tcPr>
          <w:p w14:paraId="67951277"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0.240</w:t>
            </w:r>
          </w:p>
        </w:tc>
        <w:tc>
          <w:tcPr>
            <w:tcW w:w="824" w:type="pct"/>
            <w:tcBorders>
              <w:top w:val="nil"/>
              <w:left w:val="nil"/>
              <w:bottom w:val="single" w:sz="6" w:space="0" w:color="auto"/>
              <w:right w:val="nil"/>
            </w:tcBorders>
          </w:tcPr>
          <w:p w14:paraId="5CF25CF5"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0.222</w:t>
            </w:r>
          </w:p>
        </w:tc>
        <w:tc>
          <w:tcPr>
            <w:tcW w:w="824" w:type="pct"/>
            <w:tcBorders>
              <w:top w:val="nil"/>
              <w:left w:val="nil"/>
              <w:bottom w:val="single" w:sz="6" w:space="0" w:color="auto"/>
              <w:right w:val="nil"/>
            </w:tcBorders>
          </w:tcPr>
          <w:p w14:paraId="58E51B43" w14:textId="77777777" w:rsidR="00315077" w:rsidRPr="00E066EB" w:rsidRDefault="00315077" w:rsidP="00315077">
            <w:pPr>
              <w:widowControl w:val="0"/>
              <w:autoSpaceDE w:val="0"/>
              <w:autoSpaceDN w:val="0"/>
              <w:adjustRightInd w:val="0"/>
              <w:jc w:val="center"/>
              <w:rPr>
                <w:sz w:val="20"/>
                <w:szCs w:val="20"/>
              </w:rPr>
            </w:pPr>
            <w:r w:rsidRPr="00E066EB">
              <w:rPr>
                <w:sz w:val="20"/>
                <w:szCs w:val="20"/>
              </w:rPr>
              <w:t>0.220</w:t>
            </w:r>
          </w:p>
        </w:tc>
      </w:tr>
    </w:tbl>
    <w:p w14:paraId="711E7A13" w14:textId="77777777" w:rsidR="00315077" w:rsidRPr="00971912" w:rsidRDefault="00315077" w:rsidP="00315077">
      <w:pPr>
        <w:widowControl w:val="0"/>
        <w:autoSpaceDE w:val="0"/>
        <w:autoSpaceDN w:val="0"/>
        <w:adjustRightInd w:val="0"/>
        <w:jc w:val="center"/>
        <w:rPr>
          <w:sz w:val="20"/>
          <w:szCs w:val="20"/>
        </w:rPr>
      </w:pPr>
      <w:r w:rsidRPr="00971912">
        <w:rPr>
          <w:sz w:val="20"/>
          <w:szCs w:val="20"/>
        </w:rPr>
        <w:t>Robust standard errors clustered at individual level in parentheses</w:t>
      </w:r>
    </w:p>
    <w:p w14:paraId="393E1E25" w14:textId="77777777" w:rsidR="00315077" w:rsidRPr="00971912" w:rsidRDefault="00315077" w:rsidP="00315077">
      <w:pPr>
        <w:widowControl w:val="0"/>
        <w:autoSpaceDE w:val="0"/>
        <w:autoSpaceDN w:val="0"/>
        <w:adjustRightInd w:val="0"/>
        <w:jc w:val="center"/>
        <w:rPr>
          <w:sz w:val="20"/>
          <w:szCs w:val="20"/>
        </w:rPr>
      </w:pPr>
      <w:r w:rsidRPr="00971912">
        <w:rPr>
          <w:sz w:val="20"/>
          <w:szCs w:val="20"/>
        </w:rPr>
        <w:t>*** p&lt;0.01, ** p&lt;0.05, * p&lt;0.10</w:t>
      </w:r>
    </w:p>
    <w:p w14:paraId="1F173302" w14:textId="77777777" w:rsidR="00315077" w:rsidRPr="00971912" w:rsidRDefault="00315077" w:rsidP="00315077">
      <w:pPr>
        <w:widowControl w:val="0"/>
        <w:autoSpaceDE w:val="0"/>
        <w:autoSpaceDN w:val="0"/>
        <w:adjustRightInd w:val="0"/>
        <w:jc w:val="center"/>
        <w:rPr>
          <w:sz w:val="20"/>
          <w:szCs w:val="20"/>
        </w:rPr>
      </w:pPr>
      <w:r w:rsidRPr="00971912">
        <w:rPr>
          <w:sz w:val="20"/>
          <w:szCs w:val="20"/>
        </w:rPr>
        <w:t>Models include foreign exchange indicator for data source</w:t>
      </w:r>
      <w:r w:rsidRPr="00D75E5D">
        <w:rPr>
          <w:sz w:val="20"/>
          <w:szCs w:val="20"/>
        </w:rPr>
        <w:t xml:space="preserve"> and industry fixed effects.</w:t>
      </w:r>
    </w:p>
    <w:p w14:paraId="580C84BB" w14:textId="77777777" w:rsidR="00315077" w:rsidRDefault="00315077" w:rsidP="00315077">
      <w:pPr>
        <w:spacing w:after="160" w:line="259" w:lineRule="auto"/>
        <w:rPr>
          <w:rFonts w:asciiTheme="minorHAnsi" w:hAnsiTheme="minorHAnsi"/>
        </w:rPr>
      </w:pPr>
    </w:p>
    <w:p w14:paraId="734CCBD4" w14:textId="77777777" w:rsidR="00315077" w:rsidRPr="003E4B63" w:rsidRDefault="00315077" w:rsidP="00315077">
      <w:pPr>
        <w:spacing w:after="160"/>
      </w:pPr>
    </w:p>
    <w:p w14:paraId="6434724F" w14:textId="77777777" w:rsidR="00315077" w:rsidRDefault="00315077" w:rsidP="00315077">
      <w:pPr>
        <w:spacing w:after="160" w:line="259" w:lineRule="auto"/>
        <w:rPr>
          <w:rFonts w:asciiTheme="minorHAnsi" w:hAnsiTheme="minorHAnsi"/>
        </w:rPr>
      </w:pPr>
      <w:r>
        <w:rPr>
          <w:rFonts w:asciiTheme="minorHAnsi" w:hAnsiTheme="minorHAnsi"/>
        </w:rPr>
        <w:br w:type="page"/>
      </w:r>
    </w:p>
    <w:p w14:paraId="12B8D8FA" w14:textId="263CB0F4" w:rsidR="00315077" w:rsidRPr="00127C2E" w:rsidRDefault="00315077" w:rsidP="00127C2E">
      <w:pPr>
        <w:jc w:val="center"/>
        <w:rPr>
          <w:b/>
          <w:bCs/>
        </w:rPr>
      </w:pPr>
      <w:r w:rsidRPr="00127C2E">
        <w:rPr>
          <w:b/>
          <w:bCs/>
        </w:rPr>
        <w:lastRenderedPageBreak/>
        <w:t>Table A5</w:t>
      </w:r>
      <w:r w:rsidR="00127C2E" w:rsidRPr="00127C2E">
        <w:rPr>
          <w:b/>
          <w:bCs/>
        </w:rPr>
        <w:t>:</w:t>
      </w:r>
      <w:r w:rsidRPr="00127C2E">
        <w:rPr>
          <w:b/>
          <w:bCs/>
        </w:rPr>
        <w:t xml:space="preserve"> Logit Models of Political Connectedness and Power Continuation </w:t>
      </w:r>
    </w:p>
    <w:p w14:paraId="344716A6" w14:textId="77777777" w:rsidR="00127C2E" w:rsidRPr="00971912" w:rsidRDefault="00127C2E" w:rsidP="00127C2E">
      <w:pPr>
        <w:jc w:val="center"/>
      </w:pPr>
    </w:p>
    <w:tbl>
      <w:tblPr>
        <w:tblW w:w="5000" w:type="pct"/>
        <w:jc w:val="center"/>
        <w:tblCellMar>
          <w:left w:w="75" w:type="dxa"/>
          <w:right w:w="75" w:type="dxa"/>
        </w:tblCellMar>
        <w:tblLook w:val="0000" w:firstRow="0" w:lastRow="0" w:firstColumn="0" w:lastColumn="0" w:noHBand="0" w:noVBand="0"/>
      </w:tblPr>
      <w:tblGrid>
        <w:gridCol w:w="1118"/>
        <w:gridCol w:w="1050"/>
        <w:gridCol w:w="1050"/>
        <w:gridCol w:w="1050"/>
        <w:gridCol w:w="1050"/>
        <w:gridCol w:w="1050"/>
        <w:gridCol w:w="1050"/>
        <w:gridCol w:w="1050"/>
        <w:gridCol w:w="1042"/>
      </w:tblGrid>
      <w:tr w:rsidR="00315077" w:rsidRPr="00354707" w14:paraId="25894437" w14:textId="77777777" w:rsidTr="00315077">
        <w:trPr>
          <w:jc w:val="center"/>
        </w:trPr>
        <w:tc>
          <w:tcPr>
            <w:tcW w:w="588" w:type="pct"/>
            <w:tcBorders>
              <w:top w:val="single" w:sz="6" w:space="0" w:color="auto"/>
              <w:left w:val="nil"/>
              <w:bottom w:val="nil"/>
              <w:right w:val="nil"/>
            </w:tcBorders>
          </w:tcPr>
          <w:p w14:paraId="5868B03B" w14:textId="77777777" w:rsidR="00315077" w:rsidRPr="00354707" w:rsidRDefault="00315077" w:rsidP="00315077">
            <w:pPr>
              <w:widowControl w:val="0"/>
              <w:autoSpaceDE w:val="0"/>
              <w:autoSpaceDN w:val="0"/>
              <w:adjustRightInd w:val="0"/>
              <w:rPr>
                <w:sz w:val="18"/>
                <w:szCs w:val="18"/>
              </w:rPr>
            </w:pPr>
          </w:p>
        </w:tc>
        <w:tc>
          <w:tcPr>
            <w:tcW w:w="552" w:type="pct"/>
            <w:tcBorders>
              <w:top w:val="single" w:sz="6" w:space="0" w:color="auto"/>
              <w:left w:val="nil"/>
              <w:bottom w:val="nil"/>
              <w:right w:val="nil"/>
            </w:tcBorders>
          </w:tcPr>
          <w:p w14:paraId="433DB73A"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(1)</w:t>
            </w:r>
          </w:p>
        </w:tc>
        <w:tc>
          <w:tcPr>
            <w:tcW w:w="552" w:type="pct"/>
            <w:tcBorders>
              <w:top w:val="single" w:sz="6" w:space="0" w:color="auto"/>
              <w:left w:val="nil"/>
              <w:bottom w:val="nil"/>
              <w:right w:val="nil"/>
            </w:tcBorders>
          </w:tcPr>
          <w:p w14:paraId="31AB0636"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(2)</w:t>
            </w:r>
          </w:p>
        </w:tc>
        <w:tc>
          <w:tcPr>
            <w:tcW w:w="552" w:type="pct"/>
            <w:tcBorders>
              <w:top w:val="single" w:sz="6" w:space="0" w:color="auto"/>
              <w:left w:val="nil"/>
              <w:bottom w:val="nil"/>
              <w:right w:val="nil"/>
            </w:tcBorders>
          </w:tcPr>
          <w:p w14:paraId="091A0CCE"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(3)</w:t>
            </w:r>
          </w:p>
        </w:tc>
        <w:tc>
          <w:tcPr>
            <w:tcW w:w="552" w:type="pct"/>
            <w:tcBorders>
              <w:top w:val="single" w:sz="6" w:space="0" w:color="auto"/>
              <w:left w:val="nil"/>
              <w:bottom w:val="nil"/>
              <w:right w:val="nil"/>
            </w:tcBorders>
          </w:tcPr>
          <w:p w14:paraId="4769DD61"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(4)</w:t>
            </w:r>
          </w:p>
        </w:tc>
        <w:tc>
          <w:tcPr>
            <w:tcW w:w="552" w:type="pct"/>
            <w:tcBorders>
              <w:top w:val="single" w:sz="6" w:space="0" w:color="auto"/>
              <w:left w:val="nil"/>
              <w:bottom w:val="nil"/>
              <w:right w:val="nil"/>
            </w:tcBorders>
          </w:tcPr>
          <w:p w14:paraId="435EA1F6"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(5)</w:t>
            </w:r>
          </w:p>
        </w:tc>
        <w:tc>
          <w:tcPr>
            <w:tcW w:w="552" w:type="pct"/>
            <w:tcBorders>
              <w:top w:val="single" w:sz="6" w:space="0" w:color="auto"/>
              <w:left w:val="nil"/>
              <w:bottom w:val="nil"/>
              <w:right w:val="nil"/>
            </w:tcBorders>
          </w:tcPr>
          <w:p w14:paraId="20783E66"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(6)</w:t>
            </w:r>
          </w:p>
        </w:tc>
        <w:tc>
          <w:tcPr>
            <w:tcW w:w="552" w:type="pct"/>
            <w:tcBorders>
              <w:top w:val="single" w:sz="6" w:space="0" w:color="auto"/>
              <w:left w:val="nil"/>
              <w:bottom w:val="nil"/>
              <w:right w:val="nil"/>
            </w:tcBorders>
          </w:tcPr>
          <w:p w14:paraId="3FFE9556"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(7)</w:t>
            </w:r>
          </w:p>
        </w:tc>
        <w:tc>
          <w:tcPr>
            <w:tcW w:w="552" w:type="pct"/>
            <w:tcBorders>
              <w:top w:val="single" w:sz="6" w:space="0" w:color="auto"/>
              <w:left w:val="nil"/>
              <w:bottom w:val="nil"/>
              <w:right w:val="nil"/>
            </w:tcBorders>
          </w:tcPr>
          <w:p w14:paraId="24B3EC9F"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(8)</w:t>
            </w:r>
          </w:p>
        </w:tc>
      </w:tr>
      <w:tr w:rsidR="00315077" w:rsidRPr="00354707" w14:paraId="11964AF0" w14:textId="77777777" w:rsidTr="00315077">
        <w:trPr>
          <w:jc w:val="center"/>
        </w:trPr>
        <w:tc>
          <w:tcPr>
            <w:tcW w:w="588" w:type="pct"/>
            <w:tcBorders>
              <w:top w:val="nil"/>
              <w:left w:val="nil"/>
              <w:bottom w:val="single" w:sz="6" w:space="0" w:color="auto"/>
              <w:right w:val="nil"/>
            </w:tcBorders>
          </w:tcPr>
          <w:p w14:paraId="1E0AAB27" w14:textId="77777777" w:rsidR="00315077" w:rsidRPr="00354707" w:rsidRDefault="00315077" w:rsidP="00315077">
            <w:pPr>
              <w:widowControl w:val="0"/>
              <w:autoSpaceDE w:val="0"/>
              <w:autoSpaceDN w:val="0"/>
              <w:adjustRightInd w:val="0"/>
              <w:rPr>
                <w:sz w:val="18"/>
                <w:szCs w:val="18"/>
              </w:rPr>
            </w:pPr>
          </w:p>
        </w:tc>
        <w:tc>
          <w:tcPr>
            <w:tcW w:w="552" w:type="pct"/>
            <w:tcBorders>
              <w:top w:val="nil"/>
              <w:left w:val="nil"/>
              <w:bottom w:val="single" w:sz="6" w:space="0" w:color="auto"/>
              <w:right w:val="nil"/>
            </w:tcBorders>
          </w:tcPr>
          <w:p w14:paraId="1A54C159"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single" w:sz="6" w:space="0" w:color="auto"/>
              <w:right w:val="nil"/>
            </w:tcBorders>
          </w:tcPr>
          <w:p w14:paraId="408A466E"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single" w:sz="6" w:space="0" w:color="auto"/>
              <w:right w:val="nil"/>
            </w:tcBorders>
          </w:tcPr>
          <w:p w14:paraId="13BCAE4C"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single" w:sz="6" w:space="0" w:color="auto"/>
              <w:right w:val="nil"/>
            </w:tcBorders>
          </w:tcPr>
          <w:p w14:paraId="48776643"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single" w:sz="6" w:space="0" w:color="auto"/>
              <w:right w:val="nil"/>
            </w:tcBorders>
          </w:tcPr>
          <w:p w14:paraId="279AEB36"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single" w:sz="6" w:space="0" w:color="auto"/>
              <w:right w:val="nil"/>
            </w:tcBorders>
          </w:tcPr>
          <w:p w14:paraId="7D3E4C68"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single" w:sz="6" w:space="0" w:color="auto"/>
              <w:right w:val="nil"/>
            </w:tcBorders>
          </w:tcPr>
          <w:p w14:paraId="5A063128"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single" w:sz="6" w:space="0" w:color="auto"/>
              <w:right w:val="nil"/>
            </w:tcBorders>
          </w:tcPr>
          <w:p w14:paraId="3A98C3A4" w14:textId="77777777" w:rsidR="00315077" w:rsidRPr="00354707" w:rsidRDefault="00315077" w:rsidP="00315077">
            <w:pPr>
              <w:widowControl w:val="0"/>
              <w:autoSpaceDE w:val="0"/>
              <w:autoSpaceDN w:val="0"/>
              <w:adjustRightInd w:val="0"/>
              <w:jc w:val="center"/>
              <w:rPr>
                <w:sz w:val="18"/>
                <w:szCs w:val="18"/>
              </w:rPr>
            </w:pPr>
          </w:p>
        </w:tc>
      </w:tr>
      <w:tr w:rsidR="00315077" w:rsidRPr="00354707" w14:paraId="2BD302A1" w14:textId="77777777" w:rsidTr="00315077">
        <w:trPr>
          <w:jc w:val="center"/>
        </w:trPr>
        <w:tc>
          <w:tcPr>
            <w:tcW w:w="588" w:type="pct"/>
            <w:tcBorders>
              <w:top w:val="nil"/>
              <w:left w:val="nil"/>
              <w:bottom w:val="nil"/>
              <w:right w:val="nil"/>
            </w:tcBorders>
          </w:tcPr>
          <w:p w14:paraId="4DC5A34B" w14:textId="77777777" w:rsidR="00315077" w:rsidRPr="00354707" w:rsidRDefault="00315077" w:rsidP="00315077">
            <w:pPr>
              <w:widowControl w:val="0"/>
              <w:autoSpaceDE w:val="0"/>
              <w:autoSpaceDN w:val="0"/>
              <w:adjustRightInd w:val="0"/>
              <w:rPr>
                <w:sz w:val="18"/>
                <w:szCs w:val="18"/>
              </w:rPr>
            </w:pPr>
          </w:p>
        </w:tc>
        <w:tc>
          <w:tcPr>
            <w:tcW w:w="552" w:type="pct"/>
            <w:tcBorders>
              <w:top w:val="nil"/>
              <w:left w:val="nil"/>
              <w:bottom w:val="nil"/>
              <w:right w:val="nil"/>
            </w:tcBorders>
          </w:tcPr>
          <w:p w14:paraId="32164060"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1AB06B55"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7D126827"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46329CEC"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1EBAF436"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0537735E"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3B519605"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43F5127C" w14:textId="77777777" w:rsidR="00315077" w:rsidRPr="00354707" w:rsidRDefault="00315077" w:rsidP="00315077">
            <w:pPr>
              <w:widowControl w:val="0"/>
              <w:autoSpaceDE w:val="0"/>
              <w:autoSpaceDN w:val="0"/>
              <w:adjustRightInd w:val="0"/>
              <w:jc w:val="center"/>
              <w:rPr>
                <w:sz w:val="18"/>
                <w:szCs w:val="18"/>
              </w:rPr>
            </w:pPr>
          </w:p>
        </w:tc>
      </w:tr>
      <w:tr w:rsidR="00315077" w:rsidRPr="00354707" w14:paraId="5E997638" w14:textId="77777777" w:rsidTr="00315077">
        <w:trPr>
          <w:jc w:val="center"/>
        </w:trPr>
        <w:tc>
          <w:tcPr>
            <w:tcW w:w="588" w:type="pct"/>
            <w:tcBorders>
              <w:top w:val="nil"/>
              <w:left w:val="nil"/>
              <w:bottom w:val="nil"/>
              <w:right w:val="nil"/>
            </w:tcBorders>
          </w:tcPr>
          <w:p w14:paraId="59189D53" w14:textId="77777777" w:rsidR="00315077" w:rsidRPr="00354707" w:rsidRDefault="00315077" w:rsidP="00315077">
            <w:pPr>
              <w:widowControl w:val="0"/>
              <w:autoSpaceDE w:val="0"/>
              <w:autoSpaceDN w:val="0"/>
              <w:adjustRightInd w:val="0"/>
              <w:rPr>
                <w:sz w:val="18"/>
                <w:szCs w:val="18"/>
              </w:rPr>
            </w:pPr>
            <w:r w:rsidRPr="00354707">
              <w:rPr>
                <w:sz w:val="18"/>
                <w:szCs w:val="18"/>
              </w:rPr>
              <w:t>Connections</w:t>
            </w:r>
          </w:p>
        </w:tc>
        <w:tc>
          <w:tcPr>
            <w:tcW w:w="552" w:type="pct"/>
            <w:tcBorders>
              <w:top w:val="nil"/>
              <w:left w:val="nil"/>
              <w:bottom w:val="nil"/>
              <w:right w:val="nil"/>
            </w:tcBorders>
          </w:tcPr>
          <w:p w14:paraId="205853E5"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77972A64"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7D4232FD"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6FAB0D11"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10213A71"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65CBBEDD"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54661EDE"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6CBB0AC7" w14:textId="77777777" w:rsidR="00315077" w:rsidRPr="00354707" w:rsidRDefault="00315077" w:rsidP="00315077">
            <w:pPr>
              <w:widowControl w:val="0"/>
              <w:autoSpaceDE w:val="0"/>
              <w:autoSpaceDN w:val="0"/>
              <w:adjustRightInd w:val="0"/>
              <w:jc w:val="center"/>
              <w:rPr>
                <w:sz w:val="18"/>
                <w:szCs w:val="18"/>
              </w:rPr>
            </w:pPr>
          </w:p>
        </w:tc>
      </w:tr>
      <w:tr w:rsidR="00315077" w:rsidRPr="00354707" w14:paraId="7812E351" w14:textId="77777777" w:rsidTr="00315077">
        <w:trPr>
          <w:jc w:val="center"/>
        </w:trPr>
        <w:tc>
          <w:tcPr>
            <w:tcW w:w="588" w:type="pct"/>
            <w:tcBorders>
              <w:top w:val="nil"/>
              <w:left w:val="nil"/>
              <w:bottom w:val="nil"/>
              <w:right w:val="nil"/>
            </w:tcBorders>
          </w:tcPr>
          <w:p w14:paraId="40591AFC" w14:textId="77777777" w:rsidR="00315077" w:rsidRPr="00354707" w:rsidRDefault="00315077" w:rsidP="00315077">
            <w:pPr>
              <w:widowControl w:val="0"/>
              <w:autoSpaceDE w:val="0"/>
              <w:autoSpaceDN w:val="0"/>
              <w:adjustRightInd w:val="0"/>
              <w:rPr>
                <w:sz w:val="18"/>
                <w:szCs w:val="18"/>
              </w:rPr>
            </w:pPr>
            <w:r w:rsidRPr="00354707">
              <w:rPr>
                <w:sz w:val="18"/>
                <w:szCs w:val="18"/>
              </w:rPr>
              <w:t xml:space="preserve">   Central Admin.</w:t>
            </w:r>
          </w:p>
        </w:tc>
        <w:tc>
          <w:tcPr>
            <w:tcW w:w="552" w:type="pct"/>
            <w:tcBorders>
              <w:top w:val="nil"/>
              <w:left w:val="nil"/>
              <w:bottom w:val="nil"/>
              <w:right w:val="nil"/>
            </w:tcBorders>
          </w:tcPr>
          <w:p w14:paraId="356D0AD1"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0.499*</w:t>
            </w:r>
          </w:p>
        </w:tc>
        <w:tc>
          <w:tcPr>
            <w:tcW w:w="552" w:type="pct"/>
            <w:tcBorders>
              <w:top w:val="nil"/>
              <w:left w:val="nil"/>
              <w:bottom w:val="nil"/>
              <w:right w:val="nil"/>
            </w:tcBorders>
          </w:tcPr>
          <w:p w14:paraId="3344C287"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0.433</w:t>
            </w:r>
          </w:p>
        </w:tc>
        <w:tc>
          <w:tcPr>
            <w:tcW w:w="552" w:type="pct"/>
            <w:tcBorders>
              <w:top w:val="nil"/>
              <w:left w:val="nil"/>
              <w:bottom w:val="nil"/>
              <w:right w:val="nil"/>
            </w:tcBorders>
          </w:tcPr>
          <w:p w14:paraId="6FE77D45"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1EBDC42B"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711B6216"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428ED63C"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7CBD9987"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10B7D92A" w14:textId="77777777" w:rsidR="00315077" w:rsidRPr="00354707" w:rsidRDefault="00315077" w:rsidP="00315077">
            <w:pPr>
              <w:widowControl w:val="0"/>
              <w:autoSpaceDE w:val="0"/>
              <w:autoSpaceDN w:val="0"/>
              <w:adjustRightInd w:val="0"/>
              <w:jc w:val="center"/>
              <w:rPr>
                <w:sz w:val="18"/>
                <w:szCs w:val="18"/>
              </w:rPr>
            </w:pPr>
          </w:p>
        </w:tc>
      </w:tr>
      <w:tr w:rsidR="00315077" w:rsidRPr="00354707" w14:paraId="2169B3D2" w14:textId="77777777" w:rsidTr="00315077">
        <w:trPr>
          <w:jc w:val="center"/>
        </w:trPr>
        <w:tc>
          <w:tcPr>
            <w:tcW w:w="588" w:type="pct"/>
            <w:tcBorders>
              <w:top w:val="nil"/>
              <w:left w:val="nil"/>
              <w:bottom w:val="nil"/>
              <w:right w:val="nil"/>
            </w:tcBorders>
          </w:tcPr>
          <w:p w14:paraId="07A78A13" w14:textId="77777777" w:rsidR="00315077" w:rsidRPr="00354707" w:rsidRDefault="00315077" w:rsidP="00315077">
            <w:pPr>
              <w:widowControl w:val="0"/>
              <w:autoSpaceDE w:val="0"/>
              <w:autoSpaceDN w:val="0"/>
              <w:adjustRightInd w:val="0"/>
              <w:rPr>
                <w:sz w:val="18"/>
                <w:szCs w:val="18"/>
              </w:rPr>
            </w:pPr>
          </w:p>
        </w:tc>
        <w:tc>
          <w:tcPr>
            <w:tcW w:w="552" w:type="pct"/>
            <w:tcBorders>
              <w:top w:val="nil"/>
              <w:left w:val="nil"/>
              <w:bottom w:val="nil"/>
              <w:right w:val="nil"/>
            </w:tcBorders>
          </w:tcPr>
          <w:p w14:paraId="4168A0E4"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(0.294)</w:t>
            </w:r>
          </w:p>
        </w:tc>
        <w:tc>
          <w:tcPr>
            <w:tcW w:w="552" w:type="pct"/>
            <w:tcBorders>
              <w:top w:val="nil"/>
              <w:left w:val="nil"/>
              <w:bottom w:val="nil"/>
              <w:right w:val="nil"/>
            </w:tcBorders>
          </w:tcPr>
          <w:p w14:paraId="65F12830"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(0.321)</w:t>
            </w:r>
          </w:p>
        </w:tc>
        <w:tc>
          <w:tcPr>
            <w:tcW w:w="552" w:type="pct"/>
            <w:tcBorders>
              <w:top w:val="nil"/>
              <w:left w:val="nil"/>
              <w:bottom w:val="nil"/>
              <w:right w:val="nil"/>
            </w:tcBorders>
          </w:tcPr>
          <w:p w14:paraId="6F9F9FB6"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59BF06FF"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107C4479"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0A5B95A6"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7688C3EA"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77D0D434" w14:textId="77777777" w:rsidR="00315077" w:rsidRPr="00354707" w:rsidRDefault="00315077" w:rsidP="00315077">
            <w:pPr>
              <w:widowControl w:val="0"/>
              <w:autoSpaceDE w:val="0"/>
              <w:autoSpaceDN w:val="0"/>
              <w:adjustRightInd w:val="0"/>
              <w:jc w:val="center"/>
              <w:rPr>
                <w:sz w:val="18"/>
                <w:szCs w:val="18"/>
              </w:rPr>
            </w:pPr>
          </w:p>
        </w:tc>
      </w:tr>
      <w:tr w:rsidR="00315077" w:rsidRPr="00354707" w14:paraId="0A1EE588" w14:textId="77777777" w:rsidTr="00315077">
        <w:trPr>
          <w:jc w:val="center"/>
        </w:trPr>
        <w:tc>
          <w:tcPr>
            <w:tcW w:w="588" w:type="pct"/>
            <w:tcBorders>
              <w:top w:val="nil"/>
              <w:left w:val="nil"/>
              <w:bottom w:val="nil"/>
              <w:right w:val="nil"/>
            </w:tcBorders>
          </w:tcPr>
          <w:p w14:paraId="6F244C8A" w14:textId="77777777" w:rsidR="00315077" w:rsidRPr="00354707" w:rsidRDefault="00315077" w:rsidP="00315077">
            <w:pPr>
              <w:widowControl w:val="0"/>
              <w:autoSpaceDE w:val="0"/>
              <w:autoSpaceDN w:val="0"/>
              <w:adjustRightInd w:val="0"/>
              <w:rPr>
                <w:sz w:val="18"/>
                <w:szCs w:val="18"/>
              </w:rPr>
            </w:pPr>
            <w:r w:rsidRPr="00354707">
              <w:rPr>
                <w:sz w:val="18"/>
                <w:szCs w:val="18"/>
              </w:rPr>
              <w:t xml:space="preserve">   SASAC Director</w:t>
            </w:r>
          </w:p>
        </w:tc>
        <w:tc>
          <w:tcPr>
            <w:tcW w:w="552" w:type="pct"/>
            <w:tcBorders>
              <w:top w:val="nil"/>
              <w:left w:val="nil"/>
              <w:bottom w:val="nil"/>
              <w:right w:val="nil"/>
            </w:tcBorders>
          </w:tcPr>
          <w:p w14:paraId="5E992E63"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3595674E"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3FA8DEEC"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0.471</w:t>
            </w:r>
          </w:p>
        </w:tc>
        <w:tc>
          <w:tcPr>
            <w:tcW w:w="552" w:type="pct"/>
            <w:tcBorders>
              <w:top w:val="nil"/>
              <w:left w:val="nil"/>
              <w:bottom w:val="nil"/>
              <w:right w:val="nil"/>
            </w:tcBorders>
          </w:tcPr>
          <w:p w14:paraId="4C7CD76E"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0.366</w:t>
            </w:r>
          </w:p>
        </w:tc>
        <w:tc>
          <w:tcPr>
            <w:tcW w:w="552" w:type="pct"/>
            <w:tcBorders>
              <w:top w:val="nil"/>
              <w:left w:val="nil"/>
              <w:bottom w:val="nil"/>
              <w:right w:val="nil"/>
            </w:tcBorders>
          </w:tcPr>
          <w:p w14:paraId="6C616CAD"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70932141"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576FB6EB"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73C93C65" w14:textId="77777777" w:rsidR="00315077" w:rsidRPr="00354707" w:rsidRDefault="00315077" w:rsidP="00315077">
            <w:pPr>
              <w:widowControl w:val="0"/>
              <w:autoSpaceDE w:val="0"/>
              <w:autoSpaceDN w:val="0"/>
              <w:adjustRightInd w:val="0"/>
              <w:jc w:val="center"/>
              <w:rPr>
                <w:sz w:val="18"/>
                <w:szCs w:val="18"/>
              </w:rPr>
            </w:pPr>
          </w:p>
        </w:tc>
      </w:tr>
      <w:tr w:rsidR="00315077" w:rsidRPr="00354707" w14:paraId="09C8891B" w14:textId="77777777" w:rsidTr="00315077">
        <w:trPr>
          <w:jc w:val="center"/>
        </w:trPr>
        <w:tc>
          <w:tcPr>
            <w:tcW w:w="588" w:type="pct"/>
            <w:tcBorders>
              <w:top w:val="nil"/>
              <w:left w:val="nil"/>
              <w:bottom w:val="nil"/>
              <w:right w:val="nil"/>
            </w:tcBorders>
          </w:tcPr>
          <w:p w14:paraId="5E58492D" w14:textId="77777777" w:rsidR="00315077" w:rsidRPr="00354707" w:rsidRDefault="00315077" w:rsidP="00315077">
            <w:pPr>
              <w:widowControl w:val="0"/>
              <w:autoSpaceDE w:val="0"/>
              <w:autoSpaceDN w:val="0"/>
              <w:adjustRightInd w:val="0"/>
              <w:rPr>
                <w:sz w:val="18"/>
                <w:szCs w:val="18"/>
              </w:rPr>
            </w:pPr>
          </w:p>
        </w:tc>
        <w:tc>
          <w:tcPr>
            <w:tcW w:w="552" w:type="pct"/>
            <w:tcBorders>
              <w:top w:val="nil"/>
              <w:left w:val="nil"/>
              <w:bottom w:val="nil"/>
              <w:right w:val="nil"/>
            </w:tcBorders>
          </w:tcPr>
          <w:p w14:paraId="7BFC3B14"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16737883"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66E2F202"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(0.337)</w:t>
            </w:r>
          </w:p>
        </w:tc>
        <w:tc>
          <w:tcPr>
            <w:tcW w:w="552" w:type="pct"/>
            <w:tcBorders>
              <w:top w:val="nil"/>
              <w:left w:val="nil"/>
              <w:bottom w:val="nil"/>
              <w:right w:val="nil"/>
            </w:tcBorders>
          </w:tcPr>
          <w:p w14:paraId="2B6B2E50"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(0.347)</w:t>
            </w:r>
          </w:p>
        </w:tc>
        <w:tc>
          <w:tcPr>
            <w:tcW w:w="552" w:type="pct"/>
            <w:tcBorders>
              <w:top w:val="nil"/>
              <w:left w:val="nil"/>
              <w:bottom w:val="nil"/>
              <w:right w:val="nil"/>
            </w:tcBorders>
          </w:tcPr>
          <w:p w14:paraId="49DC8901"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2C80D251"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651136EE"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60752991" w14:textId="77777777" w:rsidR="00315077" w:rsidRPr="00354707" w:rsidRDefault="00315077" w:rsidP="00315077">
            <w:pPr>
              <w:widowControl w:val="0"/>
              <w:autoSpaceDE w:val="0"/>
              <w:autoSpaceDN w:val="0"/>
              <w:adjustRightInd w:val="0"/>
              <w:jc w:val="center"/>
              <w:rPr>
                <w:sz w:val="18"/>
                <w:szCs w:val="18"/>
              </w:rPr>
            </w:pPr>
          </w:p>
        </w:tc>
      </w:tr>
      <w:tr w:rsidR="00315077" w:rsidRPr="00354707" w14:paraId="176F400F" w14:textId="77777777" w:rsidTr="00315077">
        <w:trPr>
          <w:jc w:val="center"/>
        </w:trPr>
        <w:tc>
          <w:tcPr>
            <w:tcW w:w="588" w:type="pct"/>
            <w:tcBorders>
              <w:top w:val="nil"/>
              <w:left w:val="nil"/>
              <w:bottom w:val="nil"/>
              <w:right w:val="nil"/>
            </w:tcBorders>
          </w:tcPr>
          <w:p w14:paraId="6D4073B9" w14:textId="77777777" w:rsidR="00315077" w:rsidRPr="00354707" w:rsidRDefault="00315077" w:rsidP="00315077">
            <w:pPr>
              <w:widowControl w:val="0"/>
              <w:autoSpaceDE w:val="0"/>
              <w:autoSpaceDN w:val="0"/>
              <w:adjustRightInd w:val="0"/>
              <w:rPr>
                <w:sz w:val="18"/>
                <w:szCs w:val="18"/>
              </w:rPr>
            </w:pPr>
            <w:r w:rsidRPr="00354707">
              <w:rPr>
                <w:sz w:val="18"/>
                <w:szCs w:val="18"/>
              </w:rPr>
              <w:t xml:space="preserve">   COD Director</w:t>
            </w:r>
          </w:p>
        </w:tc>
        <w:tc>
          <w:tcPr>
            <w:tcW w:w="552" w:type="pct"/>
            <w:tcBorders>
              <w:top w:val="nil"/>
              <w:left w:val="nil"/>
              <w:bottom w:val="nil"/>
              <w:right w:val="nil"/>
            </w:tcBorders>
          </w:tcPr>
          <w:p w14:paraId="5CA472C5"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2BD3E56E"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7B157C15"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02462AA4"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58DE968A"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0.682**</w:t>
            </w:r>
          </w:p>
        </w:tc>
        <w:tc>
          <w:tcPr>
            <w:tcW w:w="552" w:type="pct"/>
            <w:tcBorders>
              <w:top w:val="nil"/>
              <w:left w:val="nil"/>
              <w:bottom w:val="nil"/>
              <w:right w:val="nil"/>
            </w:tcBorders>
          </w:tcPr>
          <w:p w14:paraId="6E42187B"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0.686**</w:t>
            </w:r>
          </w:p>
        </w:tc>
        <w:tc>
          <w:tcPr>
            <w:tcW w:w="552" w:type="pct"/>
            <w:tcBorders>
              <w:top w:val="nil"/>
              <w:left w:val="nil"/>
              <w:bottom w:val="nil"/>
              <w:right w:val="nil"/>
            </w:tcBorders>
          </w:tcPr>
          <w:p w14:paraId="78B20A2F"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613DB5AB" w14:textId="77777777" w:rsidR="00315077" w:rsidRPr="00354707" w:rsidRDefault="00315077" w:rsidP="00315077">
            <w:pPr>
              <w:widowControl w:val="0"/>
              <w:autoSpaceDE w:val="0"/>
              <w:autoSpaceDN w:val="0"/>
              <w:adjustRightInd w:val="0"/>
              <w:jc w:val="center"/>
              <w:rPr>
                <w:sz w:val="18"/>
                <w:szCs w:val="18"/>
              </w:rPr>
            </w:pPr>
          </w:p>
        </w:tc>
      </w:tr>
      <w:tr w:rsidR="00315077" w:rsidRPr="00354707" w14:paraId="125E9C97" w14:textId="77777777" w:rsidTr="00315077">
        <w:trPr>
          <w:jc w:val="center"/>
        </w:trPr>
        <w:tc>
          <w:tcPr>
            <w:tcW w:w="588" w:type="pct"/>
            <w:tcBorders>
              <w:top w:val="nil"/>
              <w:left w:val="nil"/>
              <w:bottom w:val="nil"/>
              <w:right w:val="nil"/>
            </w:tcBorders>
          </w:tcPr>
          <w:p w14:paraId="21F9383F" w14:textId="77777777" w:rsidR="00315077" w:rsidRPr="00354707" w:rsidRDefault="00315077" w:rsidP="00315077">
            <w:pPr>
              <w:widowControl w:val="0"/>
              <w:autoSpaceDE w:val="0"/>
              <w:autoSpaceDN w:val="0"/>
              <w:adjustRightInd w:val="0"/>
              <w:rPr>
                <w:sz w:val="18"/>
                <w:szCs w:val="18"/>
              </w:rPr>
            </w:pPr>
          </w:p>
        </w:tc>
        <w:tc>
          <w:tcPr>
            <w:tcW w:w="552" w:type="pct"/>
            <w:tcBorders>
              <w:top w:val="nil"/>
              <w:left w:val="nil"/>
              <w:bottom w:val="nil"/>
              <w:right w:val="nil"/>
            </w:tcBorders>
          </w:tcPr>
          <w:p w14:paraId="70EF9696"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3270E032"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2F55A0A0"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02FFF864"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30E8B4C6"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(0.323)</w:t>
            </w:r>
          </w:p>
        </w:tc>
        <w:tc>
          <w:tcPr>
            <w:tcW w:w="552" w:type="pct"/>
            <w:tcBorders>
              <w:top w:val="nil"/>
              <w:left w:val="nil"/>
              <w:bottom w:val="nil"/>
              <w:right w:val="nil"/>
            </w:tcBorders>
          </w:tcPr>
          <w:p w14:paraId="6A6BDC5B"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(0.332)</w:t>
            </w:r>
          </w:p>
        </w:tc>
        <w:tc>
          <w:tcPr>
            <w:tcW w:w="552" w:type="pct"/>
            <w:tcBorders>
              <w:top w:val="nil"/>
              <w:left w:val="nil"/>
              <w:bottom w:val="nil"/>
              <w:right w:val="nil"/>
            </w:tcBorders>
          </w:tcPr>
          <w:p w14:paraId="46F18A64"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3B56F76B" w14:textId="77777777" w:rsidR="00315077" w:rsidRPr="00354707" w:rsidRDefault="00315077" w:rsidP="00315077">
            <w:pPr>
              <w:widowControl w:val="0"/>
              <w:autoSpaceDE w:val="0"/>
              <w:autoSpaceDN w:val="0"/>
              <w:adjustRightInd w:val="0"/>
              <w:jc w:val="center"/>
              <w:rPr>
                <w:sz w:val="18"/>
                <w:szCs w:val="18"/>
              </w:rPr>
            </w:pPr>
          </w:p>
        </w:tc>
      </w:tr>
      <w:tr w:rsidR="00315077" w:rsidRPr="00354707" w14:paraId="2DD45CC3" w14:textId="77777777" w:rsidTr="00315077">
        <w:trPr>
          <w:jc w:val="center"/>
        </w:trPr>
        <w:tc>
          <w:tcPr>
            <w:tcW w:w="588" w:type="pct"/>
            <w:tcBorders>
              <w:top w:val="nil"/>
              <w:left w:val="nil"/>
              <w:bottom w:val="nil"/>
              <w:right w:val="nil"/>
            </w:tcBorders>
          </w:tcPr>
          <w:p w14:paraId="52AA02BA" w14:textId="77777777" w:rsidR="00315077" w:rsidRPr="00354707" w:rsidRDefault="00315077" w:rsidP="00315077">
            <w:pPr>
              <w:widowControl w:val="0"/>
              <w:autoSpaceDE w:val="0"/>
              <w:autoSpaceDN w:val="0"/>
              <w:adjustRightInd w:val="0"/>
              <w:rPr>
                <w:sz w:val="18"/>
                <w:szCs w:val="18"/>
              </w:rPr>
            </w:pPr>
            <w:r w:rsidRPr="00354707">
              <w:rPr>
                <w:sz w:val="18"/>
                <w:szCs w:val="18"/>
              </w:rPr>
              <w:t xml:space="preserve">   Cumulative</w:t>
            </w:r>
          </w:p>
        </w:tc>
        <w:tc>
          <w:tcPr>
            <w:tcW w:w="552" w:type="pct"/>
            <w:tcBorders>
              <w:top w:val="nil"/>
              <w:left w:val="nil"/>
              <w:bottom w:val="nil"/>
              <w:right w:val="nil"/>
            </w:tcBorders>
          </w:tcPr>
          <w:p w14:paraId="5F378A69"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70C5CD1C"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6F5AABBF"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047BB2E7"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188B0CC8"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2976055D"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2FB876CF"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0.321**</w:t>
            </w:r>
          </w:p>
        </w:tc>
        <w:tc>
          <w:tcPr>
            <w:tcW w:w="552" w:type="pct"/>
            <w:tcBorders>
              <w:top w:val="nil"/>
              <w:left w:val="nil"/>
              <w:bottom w:val="nil"/>
              <w:right w:val="nil"/>
            </w:tcBorders>
          </w:tcPr>
          <w:p w14:paraId="52B2BB9D"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0.292**</w:t>
            </w:r>
          </w:p>
        </w:tc>
      </w:tr>
      <w:tr w:rsidR="00315077" w:rsidRPr="00354707" w14:paraId="14097AC5" w14:textId="77777777" w:rsidTr="00315077">
        <w:trPr>
          <w:jc w:val="center"/>
        </w:trPr>
        <w:tc>
          <w:tcPr>
            <w:tcW w:w="588" w:type="pct"/>
            <w:tcBorders>
              <w:top w:val="nil"/>
              <w:left w:val="nil"/>
              <w:bottom w:val="nil"/>
              <w:right w:val="nil"/>
            </w:tcBorders>
          </w:tcPr>
          <w:p w14:paraId="46F77FCD" w14:textId="77777777" w:rsidR="00315077" w:rsidRPr="00354707" w:rsidRDefault="00315077" w:rsidP="00315077">
            <w:pPr>
              <w:widowControl w:val="0"/>
              <w:autoSpaceDE w:val="0"/>
              <w:autoSpaceDN w:val="0"/>
              <w:adjustRightInd w:val="0"/>
              <w:rPr>
                <w:sz w:val="18"/>
                <w:szCs w:val="18"/>
              </w:rPr>
            </w:pPr>
          </w:p>
        </w:tc>
        <w:tc>
          <w:tcPr>
            <w:tcW w:w="552" w:type="pct"/>
            <w:tcBorders>
              <w:top w:val="nil"/>
              <w:left w:val="nil"/>
              <w:bottom w:val="nil"/>
              <w:right w:val="nil"/>
            </w:tcBorders>
          </w:tcPr>
          <w:p w14:paraId="1FEEC8F2"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269FADDA"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56DD580A"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04875B4B"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57C5EFB0"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5F89098E"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27406587"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(0.139)</w:t>
            </w:r>
          </w:p>
        </w:tc>
        <w:tc>
          <w:tcPr>
            <w:tcW w:w="552" w:type="pct"/>
            <w:tcBorders>
              <w:top w:val="nil"/>
              <w:left w:val="nil"/>
              <w:bottom w:val="nil"/>
              <w:right w:val="nil"/>
            </w:tcBorders>
          </w:tcPr>
          <w:p w14:paraId="6C83B6D2"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(0.149)</w:t>
            </w:r>
          </w:p>
        </w:tc>
      </w:tr>
      <w:tr w:rsidR="00315077" w:rsidRPr="00354707" w14:paraId="698302FF" w14:textId="77777777" w:rsidTr="00315077">
        <w:trPr>
          <w:jc w:val="center"/>
        </w:trPr>
        <w:tc>
          <w:tcPr>
            <w:tcW w:w="588" w:type="pct"/>
            <w:tcBorders>
              <w:top w:val="nil"/>
              <w:left w:val="nil"/>
              <w:bottom w:val="nil"/>
              <w:right w:val="nil"/>
            </w:tcBorders>
          </w:tcPr>
          <w:p w14:paraId="4AB7A15F" w14:textId="77777777" w:rsidR="00315077" w:rsidRPr="00354707" w:rsidRDefault="00315077" w:rsidP="00315077">
            <w:pPr>
              <w:widowControl w:val="0"/>
              <w:autoSpaceDE w:val="0"/>
              <w:autoSpaceDN w:val="0"/>
              <w:adjustRightInd w:val="0"/>
              <w:rPr>
                <w:sz w:val="18"/>
                <w:szCs w:val="18"/>
              </w:rPr>
            </w:pPr>
            <w:r w:rsidRPr="00354707">
              <w:rPr>
                <w:sz w:val="18"/>
                <w:szCs w:val="18"/>
              </w:rPr>
              <w:t>ROA</w:t>
            </w:r>
          </w:p>
        </w:tc>
        <w:tc>
          <w:tcPr>
            <w:tcW w:w="552" w:type="pct"/>
            <w:tcBorders>
              <w:top w:val="nil"/>
              <w:left w:val="nil"/>
              <w:bottom w:val="nil"/>
              <w:right w:val="nil"/>
            </w:tcBorders>
          </w:tcPr>
          <w:p w14:paraId="01B69022"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53C41AED"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0.493**</w:t>
            </w:r>
          </w:p>
        </w:tc>
        <w:tc>
          <w:tcPr>
            <w:tcW w:w="552" w:type="pct"/>
            <w:tcBorders>
              <w:top w:val="nil"/>
              <w:left w:val="nil"/>
              <w:bottom w:val="nil"/>
              <w:right w:val="nil"/>
            </w:tcBorders>
          </w:tcPr>
          <w:p w14:paraId="2549E73E"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1F390AA5"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0.469**</w:t>
            </w:r>
          </w:p>
        </w:tc>
        <w:tc>
          <w:tcPr>
            <w:tcW w:w="552" w:type="pct"/>
            <w:tcBorders>
              <w:top w:val="nil"/>
              <w:left w:val="nil"/>
              <w:bottom w:val="nil"/>
              <w:right w:val="nil"/>
            </w:tcBorders>
          </w:tcPr>
          <w:p w14:paraId="6A5A1C9A"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1E0836C9"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0.442**</w:t>
            </w:r>
          </w:p>
        </w:tc>
        <w:tc>
          <w:tcPr>
            <w:tcW w:w="552" w:type="pct"/>
            <w:tcBorders>
              <w:top w:val="nil"/>
              <w:left w:val="nil"/>
              <w:bottom w:val="nil"/>
              <w:right w:val="nil"/>
            </w:tcBorders>
          </w:tcPr>
          <w:p w14:paraId="3C2A73A5"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43A34461"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0.468**</w:t>
            </w:r>
          </w:p>
        </w:tc>
      </w:tr>
      <w:tr w:rsidR="00315077" w:rsidRPr="00354707" w14:paraId="086E9066" w14:textId="77777777" w:rsidTr="00315077">
        <w:trPr>
          <w:jc w:val="center"/>
        </w:trPr>
        <w:tc>
          <w:tcPr>
            <w:tcW w:w="588" w:type="pct"/>
            <w:tcBorders>
              <w:top w:val="nil"/>
              <w:left w:val="nil"/>
              <w:bottom w:val="nil"/>
              <w:right w:val="nil"/>
            </w:tcBorders>
          </w:tcPr>
          <w:p w14:paraId="6216CE98" w14:textId="77777777" w:rsidR="00315077" w:rsidRPr="00354707" w:rsidRDefault="00315077" w:rsidP="00315077">
            <w:pPr>
              <w:widowControl w:val="0"/>
              <w:autoSpaceDE w:val="0"/>
              <w:autoSpaceDN w:val="0"/>
              <w:adjustRightInd w:val="0"/>
              <w:rPr>
                <w:sz w:val="18"/>
                <w:szCs w:val="18"/>
              </w:rPr>
            </w:pPr>
          </w:p>
        </w:tc>
        <w:tc>
          <w:tcPr>
            <w:tcW w:w="552" w:type="pct"/>
            <w:tcBorders>
              <w:top w:val="nil"/>
              <w:left w:val="nil"/>
              <w:bottom w:val="nil"/>
              <w:right w:val="nil"/>
            </w:tcBorders>
          </w:tcPr>
          <w:p w14:paraId="200094E2"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515C58A6"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(0.229)</w:t>
            </w:r>
          </w:p>
        </w:tc>
        <w:tc>
          <w:tcPr>
            <w:tcW w:w="552" w:type="pct"/>
            <w:tcBorders>
              <w:top w:val="nil"/>
              <w:left w:val="nil"/>
              <w:bottom w:val="nil"/>
              <w:right w:val="nil"/>
            </w:tcBorders>
          </w:tcPr>
          <w:p w14:paraId="5EC1BB22"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4934F798"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(0.234)</w:t>
            </w:r>
          </w:p>
        </w:tc>
        <w:tc>
          <w:tcPr>
            <w:tcW w:w="552" w:type="pct"/>
            <w:tcBorders>
              <w:top w:val="nil"/>
              <w:left w:val="nil"/>
              <w:bottom w:val="nil"/>
              <w:right w:val="nil"/>
            </w:tcBorders>
          </w:tcPr>
          <w:p w14:paraId="100B5FCF"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1F6736A8"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(0.225)</w:t>
            </w:r>
          </w:p>
        </w:tc>
        <w:tc>
          <w:tcPr>
            <w:tcW w:w="552" w:type="pct"/>
            <w:tcBorders>
              <w:top w:val="nil"/>
              <w:left w:val="nil"/>
              <w:bottom w:val="nil"/>
              <w:right w:val="nil"/>
            </w:tcBorders>
          </w:tcPr>
          <w:p w14:paraId="55A8962F"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3F966A08"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(0.233)</w:t>
            </w:r>
          </w:p>
        </w:tc>
      </w:tr>
      <w:tr w:rsidR="00315077" w:rsidRPr="00354707" w14:paraId="6C4CCA4F" w14:textId="77777777" w:rsidTr="00315077">
        <w:trPr>
          <w:jc w:val="center"/>
        </w:trPr>
        <w:tc>
          <w:tcPr>
            <w:tcW w:w="588" w:type="pct"/>
            <w:tcBorders>
              <w:top w:val="nil"/>
              <w:left w:val="nil"/>
              <w:bottom w:val="nil"/>
              <w:right w:val="nil"/>
            </w:tcBorders>
          </w:tcPr>
          <w:p w14:paraId="14A64437" w14:textId="77777777" w:rsidR="00315077" w:rsidRPr="00354707" w:rsidRDefault="00315077" w:rsidP="00315077">
            <w:pPr>
              <w:widowControl w:val="0"/>
              <w:autoSpaceDE w:val="0"/>
              <w:autoSpaceDN w:val="0"/>
              <w:adjustRightInd w:val="0"/>
              <w:rPr>
                <w:sz w:val="18"/>
                <w:szCs w:val="18"/>
              </w:rPr>
            </w:pPr>
            <w:r w:rsidRPr="00354707">
              <w:rPr>
                <w:sz w:val="18"/>
                <w:szCs w:val="18"/>
              </w:rPr>
              <w:t>Experience</w:t>
            </w:r>
          </w:p>
        </w:tc>
        <w:tc>
          <w:tcPr>
            <w:tcW w:w="552" w:type="pct"/>
            <w:tcBorders>
              <w:top w:val="nil"/>
              <w:left w:val="nil"/>
              <w:bottom w:val="nil"/>
              <w:right w:val="nil"/>
            </w:tcBorders>
          </w:tcPr>
          <w:p w14:paraId="4993BD6F"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43D721CB"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2F3833C0"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1A261FC6"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439DAC4C"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12E7B063"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5D667219"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3E340266" w14:textId="77777777" w:rsidR="00315077" w:rsidRPr="00354707" w:rsidRDefault="00315077" w:rsidP="00315077">
            <w:pPr>
              <w:widowControl w:val="0"/>
              <w:autoSpaceDE w:val="0"/>
              <w:autoSpaceDN w:val="0"/>
              <w:adjustRightInd w:val="0"/>
              <w:jc w:val="center"/>
              <w:rPr>
                <w:sz w:val="18"/>
                <w:szCs w:val="18"/>
              </w:rPr>
            </w:pPr>
          </w:p>
        </w:tc>
      </w:tr>
      <w:tr w:rsidR="00315077" w:rsidRPr="00354707" w14:paraId="4FCDB5B4" w14:textId="77777777" w:rsidTr="00315077">
        <w:trPr>
          <w:jc w:val="center"/>
        </w:trPr>
        <w:tc>
          <w:tcPr>
            <w:tcW w:w="588" w:type="pct"/>
            <w:tcBorders>
              <w:top w:val="nil"/>
              <w:left w:val="nil"/>
              <w:bottom w:val="nil"/>
              <w:right w:val="nil"/>
            </w:tcBorders>
          </w:tcPr>
          <w:p w14:paraId="58FA2EEF" w14:textId="77777777" w:rsidR="00315077" w:rsidRPr="00354707" w:rsidRDefault="00315077" w:rsidP="00315077">
            <w:pPr>
              <w:widowControl w:val="0"/>
              <w:autoSpaceDE w:val="0"/>
              <w:autoSpaceDN w:val="0"/>
              <w:adjustRightInd w:val="0"/>
              <w:rPr>
                <w:sz w:val="18"/>
                <w:szCs w:val="18"/>
              </w:rPr>
            </w:pPr>
            <w:r w:rsidRPr="00354707">
              <w:rPr>
                <w:sz w:val="18"/>
                <w:szCs w:val="18"/>
              </w:rPr>
              <w:t xml:space="preserve">   Central</w:t>
            </w:r>
          </w:p>
        </w:tc>
        <w:tc>
          <w:tcPr>
            <w:tcW w:w="552" w:type="pct"/>
            <w:tcBorders>
              <w:top w:val="nil"/>
              <w:left w:val="nil"/>
              <w:bottom w:val="nil"/>
              <w:right w:val="nil"/>
            </w:tcBorders>
          </w:tcPr>
          <w:p w14:paraId="10E778F1"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-0.110</w:t>
            </w:r>
          </w:p>
        </w:tc>
        <w:tc>
          <w:tcPr>
            <w:tcW w:w="552" w:type="pct"/>
            <w:tcBorders>
              <w:top w:val="nil"/>
              <w:left w:val="nil"/>
              <w:bottom w:val="nil"/>
              <w:right w:val="nil"/>
            </w:tcBorders>
          </w:tcPr>
          <w:p w14:paraId="1B178188"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-0.202</w:t>
            </w:r>
          </w:p>
        </w:tc>
        <w:tc>
          <w:tcPr>
            <w:tcW w:w="552" w:type="pct"/>
            <w:tcBorders>
              <w:top w:val="nil"/>
              <w:left w:val="nil"/>
              <w:bottom w:val="nil"/>
              <w:right w:val="nil"/>
            </w:tcBorders>
          </w:tcPr>
          <w:p w14:paraId="6FD0F8EC"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-0.0745</w:t>
            </w:r>
          </w:p>
        </w:tc>
        <w:tc>
          <w:tcPr>
            <w:tcW w:w="552" w:type="pct"/>
            <w:tcBorders>
              <w:top w:val="nil"/>
              <w:left w:val="nil"/>
              <w:bottom w:val="nil"/>
              <w:right w:val="nil"/>
            </w:tcBorders>
          </w:tcPr>
          <w:p w14:paraId="3EEA709E"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-0.160</w:t>
            </w:r>
          </w:p>
        </w:tc>
        <w:tc>
          <w:tcPr>
            <w:tcW w:w="552" w:type="pct"/>
            <w:tcBorders>
              <w:top w:val="nil"/>
              <w:left w:val="nil"/>
              <w:bottom w:val="nil"/>
              <w:right w:val="nil"/>
            </w:tcBorders>
          </w:tcPr>
          <w:p w14:paraId="42EF330B"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-0.153</w:t>
            </w:r>
          </w:p>
        </w:tc>
        <w:tc>
          <w:tcPr>
            <w:tcW w:w="552" w:type="pct"/>
            <w:tcBorders>
              <w:top w:val="nil"/>
              <w:left w:val="nil"/>
              <w:bottom w:val="nil"/>
              <w:right w:val="nil"/>
            </w:tcBorders>
          </w:tcPr>
          <w:p w14:paraId="6D85F812"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-0.247</w:t>
            </w:r>
          </w:p>
        </w:tc>
        <w:tc>
          <w:tcPr>
            <w:tcW w:w="552" w:type="pct"/>
            <w:tcBorders>
              <w:top w:val="nil"/>
              <w:left w:val="nil"/>
              <w:bottom w:val="nil"/>
              <w:right w:val="nil"/>
            </w:tcBorders>
          </w:tcPr>
          <w:p w14:paraId="478ACAE4"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-0.115</w:t>
            </w:r>
          </w:p>
        </w:tc>
        <w:tc>
          <w:tcPr>
            <w:tcW w:w="552" w:type="pct"/>
            <w:tcBorders>
              <w:top w:val="nil"/>
              <w:left w:val="nil"/>
              <w:bottom w:val="nil"/>
              <w:right w:val="nil"/>
            </w:tcBorders>
          </w:tcPr>
          <w:p w14:paraId="32966C83"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-0.206</w:t>
            </w:r>
          </w:p>
        </w:tc>
      </w:tr>
      <w:tr w:rsidR="00315077" w:rsidRPr="00354707" w14:paraId="4F7E4BEE" w14:textId="77777777" w:rsidTr="00315077">
        <w:trPr>
          <w:jc w:val="center"/>
        </w:trPr>
        <w:tc>
          <w:tcPr>
            <w:tcW w:w="588" w:type="pct"/>
            <w:tcBorders>
              <w:top w:val="nil"/>
              <w:left w:val="nil"/>
              <w:bottom w:val="nil"/>
              <w:right w:val="nil"/>
            </w:tcBorders>
          </w:tcPr>
          <w:p w14:paraId="21C0AB9C" w14:textId="77777777" w:rsidR="00315077" w:rsidRPr="00354707" w:rsidRDefault="00315077" w:rsidP="00315077">
            <w:pPr>
              <w:widowControl w:val="0"/>
              <w:autoSpaceDE w:val="0"/>
              <w:autoSpaceDN w:val="0"/>
              <w:adjustRightInd w:val="0"/>
              <w:rPr>
                <w:sz w:val="18"/>
                <w:szCs w:val="18"/>
              </w:rPr>
            </w:pPr>
          </w:p>
        </w:tc>
        <w:tc>
          <w:tcPr>
            <w:tcW w:w="552" w:type="pct"/>
            <w:tcBorders>
              <w:top w:val="nil"/>
              <w:left w:val="nil"/>
              <w:bottom w:val="nil"/>
              <w:right w:val="nil"/>
            </w:tcBorders>
          </w:tcPr>
          <w:p w14:paraId="778444C1"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(0.344)</w:t>
            </w:r>
          </w:p>
        </w:tc>
        <w:tc>
          <w:tcPr>
            <w:tcW w:w="552" w:type="pct"/>
            <w:tcBorders>
              <w:top w:val="nil"/>
              <w:left w:val="nil"/>
              <w:bottom w:val="nil"/>
              <w:right w:val="nil"/>
            </w:tcBorders>
          </w:tcPr>
          <w:p w14:paraId="284E8C16"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(0.382)</w:t>
            </w:r>
          </w:p>
        </w:tc>
        <w:tc>
          <w:tcPr>
            <w:tcW w:w="552" w:type="pct"/>
            <w:tcBorders>
              <w:top w:val="nil"/>
              <w:left w:val="nil"/>
              <w:bottom w:val="nil"/>
              <w:right w:val="nil"/>
            </w:tcBorders>
          </w:tcPr>
          <w:p w14:paraId="6860F817"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(0.341)</w:t>
            </w:r>
          </w:p>
        </w:tc>
        <w:tc>
          <w:tcPr>
            <w:tcW w:w="552" w:type="pct"/>
            <w:tcBorders>
              <w:top w:val="nil"/>
              <w:left w:val="nil"/>
              <w:bottom w:val="nil"/>
              <w:right w:val="nil"/>
            </w:tcBorders>
          </w:tcPr>
          <w:p w14:paraId="6B1A6ADC"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(0.380)</w:t>
            </w:r>
          </w:p>
        </w:tc>
        <w:tc>
          <w:tcPr>
            <w:tcW w:w="552" w:type="pct"/>
            <w:tcBorders>
              <w:top w:val="nil"/>
              <w:left w:val="nil"/>
              <w:bottom w:val="nil"/>
              <w:right w:val="nil"/>
            </w:tcBorders>
          </w:tcPr>
          <w:p w14:paraId="6F827853"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(0.354)</w:t>
            </w:r>
          </w:p>
        </w:tc>
        <w:tc>
          <w:tcPr>
            <w:tcW w:w="552" w:type="pct"/>
            <w:tcBorders>
              <w:top w:val="nil"/>
              <w:left w:val="nil"/>
              <w:bottom w:val="nil"/>
              <w:right w:val="nil"/>
            </w:tcBorders>
          </w:tcPr>
          <w:p w14:paraId="7B4EF279"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(0.397)</w:t>
            </w:r>
          </w:p>
        </w:tc>
        <w:tc>
          <w:tcPr>
            <w:tcW w:w="552" w:type="pct"/>
            <w:tcBorders>
              <w:top w:val="nil"/>
              <w:left w:val="nil"/>
              <w:bottom w:val="nil"/>
              <w:right w:val="nil"/>
            </w:tcBorders>
          </w:tcPr>
          <w:p w14:paraId="1EB90292"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(0.349)</w:t>
            </w:r>
          </w:p>
        </w:tc>
        <w:tc>
          <w:tcPr>
            <w:tcW w:w="552" w:type="pct"/>
            <w:tcBorders>
              <w:top w:val="nil"/>
              <w:left w:val="nil"/>
              <w:bottom w:val="nil"/>
              <w:right w:val="nil"/>
            </w:tcBorders>
          </w:tcPr>
          <w:p w14:paraId="3AA46332"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(0.388)</w:t>
            </w:r>
          </w:p>
        </w:tc>
      </w:tr>
      <w:tr w:rsidR="00315077" w:rsidRPr="00354707" w14:paraId="34D423BD" w14:textId="77777777" w:rsidTr="00315077">
        <w:trPr>
          <w:jc w:val="center"/>
        </w:trPr>
        <w:tc>
          <w:tcPr>
            <w:tcW w:w="588" w:type="pct"/>
            <w:tcBorders>
              <w:top w:val="nil"/>
              <w:left w:val="nil"/>
              <w:bottom w:val="nil"/>
              <w:right w:val="nil"/>
            </w:tcBorders>
          </w:tcPr>
          <w:p w14:paraId="3B33D057" w14:textId="77777777" w:rsidR="00315077" w:rsidRPr="00354707" w:rsidRDefault="00315077" w:rsidP="00315077">
            <w:pPr>
              <w:widowControl w:val="0"/>
              <w:autoSpaceDE w:val="0"/>
              <w:autoSpaceDN w:val="0"/>
              <w:adjustRightInd w:val="0"/>
              <w:rPr>
                <w:sz w:val="18"/>
                <w:szCs w:val="18"/>
              </w:rPr>
            </w:pPr>
            <w:r w:rsidRPr="00354707">
              <w:rPr>
                <w:sz w:val="18"/>
                <w:szCs w:val="18"/>
              </w:rPr>
              <w:t xml:space="preserve">    Local</w:t>
            </w:r>
          </w:p>
        </w:tc>
        <w:tc>
          <w:tcPr>
            <w:tcW w:w="552" w:type="pct"/>
            <w:tcBorders>
              <w:top w:val="nil"/>
              <w:left w:val="nil"/>
              <w:bottom w:val="nil"/>
              <w:right w:val="nil"/>
            </w:tcBorders>
          </w:tcPr>
          <w:p w14:paraId="4DCC5C24"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0.115</w:t>
            </w:r>
          </w:p>
        </w:tc>
        <w:tc>
          <w:tcPr>
            <w:tcW w:w="552" w:type="pct"/>
            <w:tcBorders>
              <w:top w:val="nil"/>
              <w:left w:val="nil"/>
              <w:bottom w:val="nil"/>
              <w:right w:val="nil"/>
            </w:tcBorders>
          </w:tcPr>
          <w:p w14:paraId="33F7B64F"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0.109</w:t>
            </w:r>
          </w:p>
        </w:tc>
        <w:tc>
          <w:tcPr>
            <w:tcW w:w="552" w:type="pct"/>
            <w:tcBorders>
              <w:top w:val="nil"/>
              <w:left w:val="nil"/>
              <w:bottom w:val="nil"/>
              <w:right w:val="nil"/>
            </w:tcBorders>
          </w:tcPr>
          <w:p w14:paraId="4119B763"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0.214</w:t>
            </w:r>
          </w:p>
        </w:tc>
        <w:tc>
          <w:tcPr>
            <w:tcW w:w="552" w:type="pct"/>
            <w:tcBorders>
              <w:top w:val="nil"/>
              <w:left w:val="nil"/>
              <w:bottom w:val="nil"/>
              <w:right w:val="nil"/>
            </w:tcBorders>
          </w:tcPr>
          <w:p w14:paraId="129D1DC5"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0.210</w:t>
            </w:r>
          </w:p>
        </w:tc>
        <w:tc>
          <w:tcPr>
            <w:tcW w:w="552" w:type="pct"/>
            <w:tcBorders>
              <w:top w:val="nil"/>
              <w:left w:val="nil"/>
              <w:bottom w:val="nil"/>
              <w:right w:val="nil"/>
            </w:tcBorders>
          </w:tcPr>
          <w:p w14:paraId="308BC903"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0.179</w:t>
            </w:r>
          </w:p>
        </w:tc>
        <w:tc>
          <w:tcPr>
            <w:tcW w:w="552" w:type="pct"/>
            <w:tcBorders>
              <w:top w:val="nil"/>
              <w:left w:val="nil"/>
              <w:bottom w:val="nil"/>
              <w:right w:val="nil"/>
            </w:tcBorders>
          </w:tcPr>
          <w:p w14:paraId="7DAB45A3"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0.154</w:t>
            </w:r>
          </w:p>
        </w:tc>
        <w:tc>
          <w:tcPr>
            <w:tcW w:w="552" w:type="pct"/>
            <w:tcBorders>
              <w:top w:val="nil"/>
              <w:left w:val="nil"/>
              <w:bottom w:val="nil"/>
              <w:right w:val="nil"/>
            </w:tcBorders>
          </w:tcPr>
          <w:p w14:paraId="2E9B7E58"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0.111</w:t>
            </w:r>
          </w:p>
        </w:tc>
        <w:tc>
          <w:tcPr>
            <w:tcW w:w="552" w:type="pct"/>
            <w:tcBorders>
              <w:top w:val="nil"/>
              <w:left w:val="nil"/>
              <w:bottom w:val="nil"/>
              <w:right w:val="nil"/>
            </w:tcBorders>
          </w:tcPr>
          <w:p w14:paraId="1E4AC0D3"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0.104</w:t>
            </w:r>
          </w:p>
        </w:tc>
      </w:tr>
      <w:tr w:rsidR="00315077" w:rsidRPr="00354707" w14:paraId="2B8EC1D1" w14:textId="77777777" w:rsidTr="00315077">
        <w:trPr>
          <w:jc w:val="center"/>
        </w:trPr>
        <w:tc>
          <w:tcPr>
            <w:tcW w:w="588" w:type="pct"/>
            <w:tcBorders>
              <w:top w:val="nil"/>
              <w:left w:val="nil"/>
              <w:bottom w:val="nil"/>
              <w:right w:val="nil"/>
            </w:tcBorders>
          </w:tcPr>
          <w:p w14:paraId="496BCF45" w14:textId="77777777" w:rsidR="00315077" w:rsidRPr="00354707" w:rsidRDefault="00315077" w:rsidP="00315077">
            <w:pPr>
              <w:widowControl w:val="0"/>
              <w:autoSpaceDE w:val="0"/>
              <w:autoSpaceDN w:val="0"/>
              <w:adjustRightInd w:val="0"/>
              <w:rPr>
                <w:sz w:val="18"/>
                <w:szCs w:val="18"/>
              </w:rPr>
            </w:pPr>
          </w:p>
        </w:tc>
        <w:tc>
          <w:tcPr>
            <w:tcW w:w="552" w:type="pct"/>
            <w:tcBorders>
              <w:top w:val="nil"/>
              <w:left w:val="nil"/>
              <w:bottom w:val="nil"/>
              <w:right w:val="nil"/>
            </w:tcBorders>
          </w:tcPr>
          <w:p w14:paraId="47FB5A17"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(0.250)</w:t>
            </w:r>
          </w:p>
        </w:tc>
        <w:tc>
          <w:tcPr>
            <w:tcW w:w="552" w:type="pct"/>
            <w:tcBorders>
              <w:top w:val="nil"/>
              <w:left w:val="nil"/>
              <w:bottom w:val="nil"/>
              <w:right w:val="nil"/>
            </w:tcBorders>
          </w:tcPr>
          <w:p w14:paraId="10BBFDE6"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(0.264)</w:t>
            </w:r>
          </w:p>
        </w:tc>
        <w:tc>
          <w:tcPr>
            <w:tcW w:w="552" w:type="pct"/>
            <w:tcBorders>
              <w:top w:val="nil"/>
              <w:left w:val="nil"/>
              <w:bottom w:val="nil"/>
              <w:right w:val="nil"/>
            </w:tcBorders>
          </w:tcPr>
          <w:p w14:paraId="1708165B"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(0.244)</w:t>
            </w:r>
          </w:p>
        </w:tc>
        <w:tc>
          <w:tcPr>
            <w:tcW w:w="552" w:type="pct"/>
            <w:tcBorders>
              <w:top w:val="nil"/>
              <w:left w:val="nil"/>
              <w:bottom w:val="nil"/>
              <w:right w:val="nil"/>
            </w:tcBorders>
          </w:tcPr>
          <w:p w14:paraId="2C4E6492"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(0.256)</w:t>
            </w:r>
          </w:p>
        </w:tc>
        <w:tc>
          <w:tcPr>
            <w:tcW w:w="552" w:type="pct"/>
            <w:tcBorders>
              <w:top w:val="nil"/>
              <w:left w:val="nil"/>
              <w:bottom w:val="nil"/>
              <w:right w:val="nil"/>
            </w:tcBorders>
          </w:tcPr>
          <w:p w14:paraId="567501C4"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(0.246)</w:t>
            </w:r>
          </w:p>
        </w:tc>
        <w:tc>
          <w:tcPr>
            <w:tcW w:w="552" w:type="pct"/>
            <w:tcBorders>
              <w:top w:val="nil"/>
              <w:left w:val="nil"/>
              <w:bottom w:val="nil"/>
              <w:right w:val="nil"/>
            </w:tcBorders>
          </w:tcPr>
          <w:p w14:paraId="61D1960A"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(0.263)</w:t>
            </w:r>
          </w:p>
        </w:tc>
        <w:tc>
          <w:tcPr>
            <w:tcW w:w="552" w:type="pct"/>
            <w:tcBorders>
              <w:top w:val="nil"/>
              <w:left w:val="nil"/>
              <w:bottom w:val="nil"/>
              <w:right w:val="nil"/>
            </w:tcBorders>
          </w:tcPr>
          <w:p w14:paraId="4075F5AB"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(0.251)</w:t>
            </w:r>
          </w:p>
        </w:tc>
        <w:tc>
          <w:tcPr>
            <w:tcW w:w="552" w:type="pct"/>
            <w:tcBorders>
              <w:top w:val="nil"/>
              <w:left w:val="nil"/>
              <w:bottom w:val="nil"/>
              <w:right w:val="nil"/>
            </w:tcBorders>
          </w:tcPr>
          <w:p w14:paraId="085E7A84"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(0.266)</w:t>
            </w:r>
          </w:p>
        </w:tc>
      </w:tr>
      <w:tr w:rsidR="00315077" w:rsidRPr="00354707" w14:paraId="266E1301" w14:textId="77777777" w:rsidTr="00315077">
        <w:trPr>
          <w:jc w:val="center"/>
        </w:trPr>
        <w:tc>
          <w:tcPr>
            <w:tcW w:w="588" w:type="pct"/>
            <w:tcBorders>
              <w:top w:val="nil"/>
              <w:left w:val="nil"/>
              <w:bottom w:val="nil"/>
              <w:right w:val="nil"/>
            </w:tcBorders>
          </w:tcPr>
          <w:p w14:paraId="1EAE3AAE" w14:textId="77777777" w:rsidR="00315077" w:rsidRPr="00354707" w:rsidRDefault="00315077" w:rsidP="00315077">
            <w:pPr>
              <w:widowControl w:val="0"/>
              <w:autoSpaceDE w:val="0"/>
              <w:autoSpaceDN w:val="0"/>
              <w:adjustRightInd w:val="0"/>
              <w:rPr>
                <w:sz w:val="18"/>
                <w:szCs w:val="18"/>
              </w:rPr>
            </w:pPr>
            <w:r w:rsidRPr="00354707">
              <w:rPr>
                <w:sz w:val="18"/>
                <w:szCs w:val="18"/>
              </w:rPr>
              <w:t>Leadership Years</w:t>
            </w:r>
          </w:p>
        </w:tc>
        <w:tc>
          <w:tcPr>
            <w:tcW w:w="552" w:type="pct"/>
            <w:tcBorders>
              <w:top w:val="nil"/>
              <w:left w:val="nil"/>
              <w:bottom w:val="nil"/>
              <w:right w:val="nil"/>
            </w:tcBorders>
          </w:tcPr>
          <w:p w14:paraId="1D0DF131"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-0.109***</w:t>
            </w:r>
          </w:p>
        </w:tc>
        <w:tc>
          <w:tcPr>
            <w:tcW w:w="552" w:type="pct"/>
            <w:tcBorders>
              <w:top w:val="nil"/>
              <w:left w:val="nil"/>
              <w:bottom w:val="nil"/>
              <w:right w:val="nil"/>
            </w:tcBorders>
          </w:tcPr>
          <w:p w14:paraId="3AEA9F52"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-0.115***</w:t>
            </w:r>
          </w:p>
        </w:tc>
        <w:tc>
          <w:tcPr>
            <w:tcW w:w="552" w:type="pct"/>
            <w:tcBorders>
              <w:top w:val="nil"/>
              <w:left w:val="nil"/>
              <w:bottom w:val="nil"/>
              <w:right w:val="nil"/>
            </w:tcBorders>
          </w:tcPr>
          <w:p w14:paraId="55EEE14F"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-0.119***</w:t>
            </w:r>
          </w:p>
        </w:tc>
        <w:tc>
          <w:tcPr>
            <w:tcW w:w="552" w:type="pct"/>
            <w:tcBorders>
              <w:top w:val="nil"/>
              <w:left w:val="nil"/>
              <w:bottom w:val="nil"/>
              <w:right w:val="nil"/>
            </w:tcBorders>
          </w:tcPr>
          <w:p w14:paraId="48466958"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-0.125***</w:t>
            </w:r>
          </w:p>
        </w:tc>
        <w:tc>
          <w:tcPr>
            <w:tcW w:w="552" w:type="pct"/>
            <w:tcBorders>
              <w:top w:val="nil"/>
              <w:left w:val="nil"/>
              <w:bottom w:val="nil"/>
              <w:right w:val="nil"/>
            </w:tcBorders>
          </w:tcPr>
          <w:p w14:paraId="5044200C"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-0.0930**</w:t>
            </w:r>
          </w:p>
        </w:tc>
        <w:tc>
          <w:tcPr>
            <w:tcW w:w="552" w:type="pct"/>
            <w:tcBorders>
              <w:top w:val="nil"/>
              <w:left w:val="nil"/>
              <w:bottom w:val="nil"/>
              <w:right w:val="nil"/>
            </w:tcBorders>
          </w:tcPr>
          <w:p w14:paraId="608E4659"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-0.0933**</w:t>
            </w:r>
          </w:p>
        </w:tc>
        <w:tc>
          <w:tcPr>
            <w:tcW w:w="552" w:type="pct"/>
            <w:tcBorders>
              <w:top w:val="nil"/>
              <w:left w:val="nil"/>
              <w:bottom w:val="nil"/>
              <w:right w:val="nil"/>
            </w:tcBorders>
          </w:tcPr>
          <w:p w14:paraId="4D2DA3F1"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-0.0846**</w:t>
            </w:r>
          </w:p>
        </w:tc>
        <w:tc>
          <w:tcPr>
            <w:tcW w:w="552" w:type="pct"/>
            <w:tcBorders>
              <w:top w:val="nil"/>
              <w:left w:val="nil"/>
              <w:bottom w:val="nil"/>
              <w:right w:val="nil"/>
            </w:tcBorders>
          </w:tcPr>
          <w:p w14:paraId="6AF725B2"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-0.0908**</w:t>
            </w:r>
          </w:p>
        </w:tc>
      </w:tr>
      <w:tr w:rsidR="00315077" w:rsidRPr="00354707" w14:paraId="22B113FB" w14:textId="77777777" w:rsidTr="00315077">
        <w:trPr>
          <w:jc w:val="center"/>
        </w:trPr>
        <w:tc>
          <w:tcPr>
            <w:tcW w:w="588" w:type="pct"/>
            <w:tcBorders>
              <w:top w:val="nil"/>
              <w:left w:val="nil"/>
              <w:bottom w:val="nil"/>
              <w:right w:val="nil"/>
            </w:tcBorders>
          </w:tcPr>
          <w:p w14:paraId="67DBD238" w14:textId="77777777" w:rsidR="00315077" w:rsidRPr="00354707" w:rsidRDefault="00315077" w:rsidP="00315077">
            <w:pPr>
              <w:widowControl w:val="0"/>
              <w:autoSpaceDE w:val="0"/>
              <w:autoSpaceDN w:val="0"/>
              <w:adjustRightInd w:val="0"/>
              <w:rPr>
                <w:sz w:val="18"/>
                <w:szCs w:val="18"/>
              </w:rPr>
            </w:pPr>
          </w:p>
        </w:tc>
        <w:tc>
          <w:tcPr>
            <w:tcW w:w="552" w:type="pct"/>
            <w:tcBorders>
              <w:top w:val="nil"/>
              <w:left w:val="nil"/>
              <w:bottom w:val="nil"/>
              <w:right w:val="nil"/>
            </w:tcBorders>
          </w:tcPr>
          <w:p w14:paraId="771CABC5"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(0.0375)</w:t>
            </w:r>
          </w:p>
        </w:tc>
        <w:tc>
          <w:tcPr>
            <w:tcW w:w="552" w:type="pct"/>
            <w:tcBorders>
              <w:top w:val="nil"/>
              <w:left w:val="nil"/>
              <w:bottom w:val="nil"/>
              <w:right w:val="nil"/>
            </w:tcBorders>
          </w:tcPr>
          <w:p w14:paraId="21F6A752"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(0.0402)</w:t>
            </w:r>
          </w:p>
        </w:tc>
        <w:tc>
          <w:tcPr>
            <w:tcW w:w="552" w:type="pct"/>
            <w:tcBorders>
              <w:top w:val="nil"/>
              <w:left w:val="nil"/>
              <w:bottom w:val="nil"/>
              <w:right w:val="nil"/>
            </w:tcBorders>
          </w:tcPr>
          <w:p w14:paraId="0E7DA6EB"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(0.0369)</w:t>
            </w:r>
          </w:p>
        </w:tc>
        <w:tc>
          <w:tcPr>
            <w:tcW w:w="552" w:type="pct"/>
            <w:tcBorders>
              <w:top w:val="nil"/>
              <w:left w:val="nil"/>
              <w:bottom w:val="nil"/>
              <w:right w:val="nil"/>
            </w:tcBorders>
          </w:tcPr>
          <w:p w14:paraId="05794CB5"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(0.0398)</w:t>
            </w:r>
          </w:p>
        </w:tc>
        <w:tc>
          <w:tcPr>
            <w:tcW w:w="552" w:type="pct"/>
            <w:tcBorders>
              <w:top w:val="nil"/>
              <w:left w:val="nil"/>
              <w:bottom w:val="nil"/>
              <w:right w:val="nil"/>
            </w:tcBorders>
          </w:tcPr>
          <w:p w14:paraId="19806C3C"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(0.0416)</w:t>
            </w:r>
          </w:p>
        </w:tc>
        <w:tc>
          <w:tcPr>
            <w:tcW w:w="552" w:type="pct"/>
            <w:tcBorders>
              <w:top w:val="nil"/>
              <w:left w:val="nil"/>
              <w:bottom w:val="nil"/>
              <w:right w:val="nil"/>
            </w:tcBorders>
          </w:tcPr>
          <w:p w14:paraId="6EC50147"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(0.0441)</w:t>
            </w:r>
          </w:p>
        </w:tc>
        <w:tc>
          <w:tcPr>
            <w:tcW w:w="552" w:type="pct"/>
            <w:tcBorders>
              <w:top w:val="nil"/>
              <w:left w:val="nil"/>
              <w:bottom w:val="nil"/>
              <w:right w:val="nil"/>
            </w:tcBorders>
          </w:tcPr>
          <w:p w14:paraId="16CEE593"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(0.0399)</w:t>
            </w:r>
          </w:p>
        </w:tc>
        <w:tc>
          <w:tcPr>
            <w:tcW w:w="552" w:type="pct"/>
            <w:tcBorders>
              <w:top w:val="nil"/>
              <w:left w:val="nil"/>
              <w:bottom w:val="nil"/>
              <w:right w:val="nil"/>
            </w:tcBorders>
          </w:tcPr>
          <w:p w14:paraId="1A49F7B8"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(0.0428)</w:t>
            </w:r>
          </w:p>
        </w:tc>
      </w:tr>
      <w:tr w:rsidR="00315077" w:rsidRPr="00354707" w14:paraId="50A3BE10" w14:textId="77777777" w:rsidTr="00315077">
        <w:trPr>
          <w:jc w:val="center"/>
        </w:trPr>
        <w:tc>
          <w:tcPr>
            <w:tcW w:w="588" w:type="pct"/>
            <w:tcBorders>
              <w:top w:val="nil"/>
              <w:left w:val="nil"/>
              <w:bottom w:val="nil"/>
              <w:right w:val="nil"/>
            </w:tcBorders>
          </w:tcPr>
          <w:p w14:paraId="7E583841" w14:textId="77777777" w:rsidR="00315077" w:rsidRPr="00354707" w:rsidRDefault="00315077" w:rsidP="00315077">
            <w:pPr>
              <w:widowControl w:val="0"/>
              <w:autoSpaceDE w:val="0"/>
              <w:autoSpaceDN w:val="0"/>
              <w:adjustRightInd w:val="0"/>
              <w:rPr>
                <w:sz w:val="18"/>
                <w:szCs w:val="18"/>
              </w:rPr>
            </w:pPr>
            <w:r w:rsidRPr="00354707">
              <w:rPr>
                <w:sz w:val="18"/>
                <w:szCs w:val="18"/>
              </w:rPr>
              <w:t>Party School</w:t>
            </w:r>
          </w:p>
        </w:tc>
        <w:tc>
          <w:tcPr>
            <w:tcW w:w="552" w:type="pct"/>
            <w:tcBorders>
              <w:top w:val="nil"/>
              <w:left w:val="nil"/>
              <w:bottom w:val="nil"/>
              <w:right w:val="nil"/>
            </w:tcBorders>
          </w:tcPr>
          <w:p w14:paraId="19731F09"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0.412</w:t>
            </w:r>
          </w:p>
        </w:tc>
        <w:tc>
          <w:tcPr>
            <w:tcW w:w="552" w:type="pct"/>
            <w:tcBorders>
              <w:top w:val="nil"/>
              <w:left w:val="nil"/>
              <w:bottom w:val="nil"/>
              <w:right w:val="nil"/>
            </w:tcBorders>
          </w:tcPr>
          <w:p w14:paraId="707A54D6"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0.545</w:t>
            </w:r>
          </w:p>
        </w:tc>
        <w:tc>
          <w:tcPr>
            <w:tcW w:w="552" w:type="pct"/>
            <w:tcBorders>
              <w:top w:val="nil"/>
              <w:left w:val="nil"/>
              <w:bottom w:val="nil"/>
              <w:right w:val="nil"/>
            </w:tcBorders>
          </w:tcPr>
          <w:p w14:paraId="20159B44"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0.389</w:t>
            </w:r>
          </w:p>
        </w:tc>
        <w:tc>
          <w:tcPr>
            <w:tcW w:w="552" w:type="pct"/>
            <w:tcBorders>
              <w:top w:val="nil"/>
              <w:left w:val="nil"/>
              <w:bottom w:val="nil"/>
              <w:right w:val="nil"/>
            </w:tcBorders>
          </w:tcPr>
          <w:p w14:paraId="77F24D8D"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0.518</w:t>
            </w:r>
          </w:p>
        </w:tc>
        <w:tc>
          <w:tcPr>
            <w:tcW w:w="552" w:type="pct"/>
            <w:tcBorders>
              <w:top w:val="nil"/>
              <w:left w:val="nil"/>
              <w:bottom w:val="nil"/>
              <w:right w:val="nil"/>
            </w:tcBorders>
          </w:tcPr>
          <w:p w14:paraId="25960FDD"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0.342</w:t>
            </w:r>
          </w:p>
        </w:tc>
        <w:tc>
          <w:tcPr>
            <w:tcW w:w="552" w:type="pct"/>
            <w:tcBorders>
              <w:top w:val="nil"/>
              <w:left w:val="nil"/>
              <w:bottom w:val="nil"/>
              <w:right w:val="nil"/>
            </w:tcBorders>
          </w:tcPr>
          <w:p w14:paraId="08EB4BA8"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0.485</w:t>
            </w:r>
          </w:p>
        </w:tc>
        <w:tc>
          <w:tcPr>
            <w:tcW w:w="552" w:type="pct"/>
            <w:tcBorders>
              <w:top w:val="nil"/>
              <w:left w:val="nil"/>
              <w:bottom w:val="nil"/>
              <w:right w:val="nil"/>
            </w:tcBorders>
          </w:tcPr>
          <w:p w14:paraId="45C2329D"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0.449</w:t>
            </w:r>
          </w:p>
        </w:tc>
        <w:tc>
          <w:tcPr>
            <w:tcW w:w="552" w:type="pct"/>
            <w:tcBorders>
              <w:top w:val="nil"/>
              <w:left w:val="nil"/>
              <w:bottom w:val="nil"/>
              <w:right w:val="nil"/>
            </w:tcBorders>
          </w:tcPr>
          <w:p w14:paraId="461C8EEC"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0.578</w:t>
            </w:r>
          </w:p>
        </w:tc>
      </w:tr>
      <w:tr w:rsidR="00315077" w:rsidRPr="00354707" w14:paraId="5DB82CEE" w14:textId="77777777" w:rsidTr="00315077">
        <w:trPr>
          <w:jc w:val="center"/>
        </w:trPr>
        <w:tc>
          <w:tcPr>
            <w:tcW w:w="588" w:type="pct"/>
            <w:tcBorders>
              <w:top w:val="nil"/>
              <w:left w:val="nil"/>
              <w:bottom w:val="nil"/>
              <w:right w:val="nil"/>
            </w:tcBorders>
          </w:tcPr>
          <w:p w14:paraId="34BF4CD8" w14:textId="77777777" w:rsidR="00315077" w:rsidRPr="00354707" w:rsidRDefault="00315077" w:rsidP="00315077">
            <w:pPr>
              <w:widowControl w:val="0"/>
              <w:autoSpaceDE w:val="0"/>
              <w:autoSpaceDN w:val="0"/>
              <w:adjustRightInd w:val="0"/>
              <w:rPr>
                <w:sz w:val="18"/>
                <w:szCs w:val="18"/>
              </w:rPr>
            </w:pPr>
          </w:p>
        </w:tc>
        <w:tc>
          <w:tcPr>
            <w:tcW w:w="552" w:type="pct"/>
            <w:tcBorders>
              <w:top w:val="nil"/>
              <w:left w:val="nil"/>
              <w:bottom w:val="nil"/>
              <w:right w:val="nil"/>
            </w:tcBorders>
          </w:tcPr>
          <w:p w14:paraId="29F3DCED"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(0.565)</w:t>
            </w:r>
          </w:p>
        </w:tc>
        <w:tc>
          <w:tcPr>
            <w:tcW w:w="552" w:type="pct"/>
            <w:tcBorders>
              <w:top w:val="nil"/>
              <w:left w:val="nil"/>
              <w:bottom w:val="nil"/>
              <w:right w:val="nil"/>
            </w:tcBorders>
          </w:tcPr>
          <w:p w14:paraId="0B6F3D81"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(0.621)</w:t>
            </w:r>
          </w:p>
        </w:tc>
        <w:tc>
          <w:tcPr>
            <w:tcW w:w="552" w:type="pct"/>
            <w:tcBorders>
              <w:top w:val="nil"/>
              <w:left w:val="nil"/>
              <w:bottom w:val="nil"/>
              <w:right w:val="nil"/>
            </w:tcBorders>
          </w:tcPr>
          <w:p w14:paraId="45972354"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(0.548)</w:t>
            </w:r>
          </w:p>
        </w:tc>
        <w:tc>
          <w:tcPr>
            <w:tcW w:w="552" w:type="pct"/>
            <w:tcBorders>
              <w:top w:val="nil"/>
              <w:left w:val="nil"/>
              <w:bottom w:val="nil"/>
              <w:right w:val="nil"/>
            </w:tcBorders>
          </w:tcPr>
          <w:p w14:paraId="52332076"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(0.597)</w:t>
            </w:r>
          </w:p>
        </w:tc>
        <w:tc>
          <w:tcPr>
            <w:tcW w:w="552" w:type="pct"/>
            <w:tcBorders>
              <w:top w:val="nil"/>
              <w:left w:val="nil"/>
              <w:bottom w:val="nil"/>
              <w:right w:val="nil"/>
            </w:tcBorders>
          </w:tcPr>
          <w:p w14:paraId="0E712BA2"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(0.539)</w:t>
            </w:r>
          </w:p>
        </w:tc>
        <w:tc>
          <w:tcPr>
            <w:tcW w:w="552" w:type="pct"/>
            <w:tcBorders>
              <w:top w:val="nil"/>
              <w:left w:val="nil"/>
              <w:bottom w:val="nil"/>
              <w:right w:val="nil"/>
            </w:tcBorders>
          </w:tcPr>
          <w:p w14:paraId="26A39462"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(0.592)</w:t>
            </w:r>
          </w:p>
        </w:tc>
        <w:tc>
          <w:tcPr>
            <w:tcW w:w="552" w:type="pct"/>
            <w:tcBorders>
              <w:top w:val="nil"/>
              <w:left w:val="nil"/>
              <w:bottom w:val="nil"/>
              <w:right w:val="nil"/>
            </w:tcBorders>
          </w:tcPr>
          <w:p w14:paraId="6C8045B8"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(0.566)</w:t>
            </w:r>
          </w:p>
        </w:tc>
        <w:tc>
          <w:tcPr>
            <w:tcW w:w="552" w:type="pct"/>
            <w:tcBorders>
              <w:top w:val="nil"/>
              <w:left w:val="nil"/>
              <w:bottom w:val="nil"/>
              <w:right w:val="nil"/>
            </w:tcBorders>
          </w:tcPr>
          <w:p w14:paraId="0FFFA70C"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(0.623)</w:t>
            </w:r>
          </w:p>
        </w:tc>
      </w:tr>
      <w:tr w:rsidR="00315077" w:rsidRPr="00354707" w14:paraId="1B9367B5" w14:textId="77777777" w:rsidTr="00315077">
        <w:trPr>
          <w:jc w:val="center"/>
        </w:trPr>
        <w:tc>
          <w:tcPr>
            <w:tcW w:w="588" w:type="pct"/>
            <w:tcBorders>
              <w:top w:val="nil"/>
              <w:left w:val="nil"/>
              <w:bottom w:val="nil"/>
              <w:right w:val="nil"/>
            </w:tcBorders>
          </w:tcPr>
          <w:p w14:paraId="7DA0A1CA" w14:textId="77777777" w:rsidR="00315077" w:rsidRPr="00354707" w:rsidRDefault="00315077" w:rsidP="00315077">
            <w:pPr>
              <w:widowControl w:val="0"/>
              <w:autoSpaceDE w:val="0"/>
              <w:autoSpaceDN w:val="0"/>
              <w:adjustRightInd w:val="0"/>
              <w:rPr>
                <w:sz w:val="18"/>
                <w:szCs w:val="18"/>
              </w:rPr>
            </w:pPr>
            <w:r w:rsidRPr="00354707">
              <w:rPr>
                <w:sz w:val="18"/>
                <w:szCs w:val="18"/>
              </w:rPr>
              <w:t>Age</w:t>
            </w:r>
          </w:p>
        </w:tc>
        <w:tc>
          <w:tcPr>
            <w:tcW w:w="552" w:type="pct"/>
            <w:tcBorders>
              <w:top w:val="nil"/>
              <w:left w:val="nil"/>
              <w:bottom w:val="nil"/>
              <w:right w:val="nil"/>
            </w:tcBorders>
          </w:tcPr>
          <w:p w14:paraId="166BC1D7"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1.853***</w:t>
            </w:r>
          </w:p>
        </w:tc>
        <w:tc>
          <w:tcPr>
            <w:tcW w:w="552" w:type="pct"/>
            <w:tcBorders>
              <w:top w:val="nil"/>
              <w:left w:val="nil"/>
              <w:bottom w:val="nil"/>
              <w:right w:val="nil"/>
            </w:tcBorders>
          </w:tcPr>
          <w:p w14:paraId="3EF80788"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1.916***</w:t>
            </w:r>
          </w:p>
        </w:tc>
        <w:tc>
          <w:tcPr>
            <w:tcW w:w="552" w:type="pct"/>
            <w:tcBorders>
              <w:top w:val="nil"/>
              <w:left w:val="nil"/>
              <w:bottom w:val="nil"/>
              <w:right w:val="nil"/>
            </w:tcBorders>
          </w:tcPr>
          <w:p w14:paraId="4C45CF9C"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1.907***</w:t>
            </w:r>
          </w:p>
        </w:tc>
        <w:tc>
          <w:tcPr>
            <w:tcW w:w="552" w:type="pct"/>
            <w:tcBorders>
              <w:top w:val="nil"/>
              <w:left w:val="nil"/>
              <w:bottom w:val="nil"/>
              <w:right w:val="nil"/>
            </w:tcBorders>
          </w:tcPr>
          <w:p w14:paraId="2D3A8065"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1.966***</w:t>
            </w:r>
          </w:p>
        </w:tc>
        <w:tc>
          <w:tcPr>
            <w:tcW w:w="552" w:type="pct"/>
            <w:tcBorders>
              <w:top w:val="nil"/>
              <w:left w:val="nil"/>
              <w:bottom w:val="nil"/>
              <w:right w:val="nil"/>
            </w:tcBorders>
          </w:tcPr>
          <w:p w14:paraId="385C6BAC"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1.961***</w:t>
            </w:r>
          </w:p>
        </w:tc>
        <w:tc>
          <w:tcPr>
            <w:tcW w:w="552" w:type="pct"/>
            <w:tcBorders>
              <w:top w:val="nil"/>
              <w:left w:val="nil"/>
              <w:bottom w:val="nil"/>
              <w:right w:val="nil"/>
            </w:tcBorders>
          </w:tcPr>
          <w:p w14:paraId="4C9B7C2D"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2.014***</w:t>
            </w:r>
          </w:p>
        </w:tc>
        <w:tc>
          <w:tcPr>
            <w:tcW w:w="552" w:type="pct"/>
            <w:tcBorders>
              <w:top w:val="nil"/>
              <w:left w:val="nil"/>
              <w:bottom w:val="nil"/>
              <w:right w:val="nil"/>
            </w:tcBorders>
          </w:tcPr>
          <w:p w14:paraId="03F7AA43"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1.864***</w:t>
            </w:r>
          </w:p>
        </w:tc>
        <w:tc>
          <w:tcPr>
            <w:tcW w:w="552" w:type="pct"/>
            <w:tcBorders>
              <w:top w:val="nil"/>
              <w:left w:val="nil"/>
              <w:bottom w:val="nil"/>
              <w:right w:val="nil"/>
            </w:tcBorders>
          </w:tcPr>
          <w:p w14:paraId="4F4B6CA2"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1.923***</w:t>
            </w:r>
          </w:p>
        </w:tc>
      </w:tr>
      <w:tr w:rsidR="00315077" w:rsidRPr="00354707" w14:paraId="2F0B45F8" w14:textId="77777777" w:rsidTr="00315077">
        <w:trPr>
          <w:jc w:val="center"/>
        </w:trPr>
        <w:tc>
          <w:tcPr>
            <w:tcW w:w="588" w:type="pct"/>
            <w:tcBorders>
              <w:top w:val="nil"/>
              <w:left w:val="nil"/>
              <w:bottom w:val="nil"/>
              <w:right w:val="nil"/>
            </w:tcBorders>
          </w:tcPr>
          <w:p w14:paraId="00FE50F7" w14:textId="77777777" w:rsidR="00315077" w:rsidRPr="00354707" w:rsidRDefault="00315077" w:rsidP="00315077">
            <w:pPr>
              <w:widowControl w:val="0"/>
              <w:autoSpaceDE w:val="0"/>
              <w:autoSpaceDN w:val="0"/>
              <w:adjustRightInd w:val="0"/>
              <w:rPr>
                <w:sz w:val="18"/>
                <w:szCs w:val="18"/>
              </w:rPr>
            </w:pPr>
          </w:p>
        </w:tc>
        <w:tc>
          <w:tcPr>
            <w:tcW w:w="552" w:type="pct"/>
            <w:tcBorders>
              <w:top w:val="nil"/>
              <w:left w:val="nil"/>
              <w:bottom w:val="nil"/>
              <w:right w:val="nil"/>
            </w:tcBorders>
          </w:tcPr>
          <w:p w14:paraId="3774CEC6"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(0.362)</w:t>
            </w:r>
          </w:p>
        </w:tc>
        <w:tc>
          <w:tcPr>
            <w:tcW w:w="552" w:type="pct"/>
            <w:tcBorders>
              <w:top w:val="nil"/>
              <w:left w:val="nil"/>
              <w:bottom w:val="nil"/>
              <w:right w:val="nil"/>
            </w:tcBorders>
          </w:tcPr>
          <w:p w14:paraId="172D60DE"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(0.383)</w:t>
            </w:r>
          </w:p>
        </w:tc>
        <w:tc>
          <w:tcPr>
            <w:tcW w:w="552" w:type="pct"/>
            <w:tcBorders>
              <w:top w:val="nil"/>
              <w:left w:val="nil"/>
              <w:bottom w:val="nil"/>
              <w:right w:val="nil"/>
            </w:tcBorders>
          </w:tcPr>
          <w:p w14:paraId="42E9E8E9"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(0.362)</w:t>
            </w:r>
          </w:p>
        </w:tc>
        <w:tc>
          <w:tcPr>
            <w:tcW w:w="552" w:type="pct"/>
            <w:tcBorders>
              <w:top w:val="nil"/>
              <w:left w:val="nil"/>
              <w:bottom w:val="nil"/>
              <w:right w:val="nil"/>
            </w:tcBorders>
          </w:tcPr>
          <w:p w14:paraId="2298F854"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(0.382)</w:t>
            </w:r>
          </w:p>
        </w:tc>
        <w:tc>
          <w:tcPr>
            <w:tcW w:w="552" w:type="pct"/>
            <w:tcBorders>
              <w:top w:val="nil"/>
              <w:left w:val="nil"/>
              <w:bottom w:val="nil"/>
              <w:right w:val="nil"/>
            </w:tcBorders>
          </w:tcPr>
          <w:p w14:paraId="617B8581"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(0.373)</w:t>
            </w:r>
          </w:p>
        </w:tc>
        <w:tc>
          <w:tcPr>
            <w:tcW w:w="552" w:type="pct"/>
            <w:tcBorders>
              <w:top w:val="nil"/>
              <w:left w:val="nil"/>
              <w:bottom w:val="nil"/>
              <w:right w:val="nil"/>
            </w:tcBorders>
          </w:tcPr>
          <w:p w14:paraId="5ABDA1A5"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(0.394)</w:t>
            </w:r>
          </w:p>
        </w:tc>
        <w:tc>
          <w:tcPr>
            <w:tcW w:w="552" w:type="pct"/>
            <w:tcBorders>
              <w:top w:val="nil"/>
              <w:left w:val="nil"/>
              <w:bottom w:val="nil"/>
              <w:right w:val="nil"/>
            </w:tcBorders>
          </w:tcPr>
          <w:p w14:paraId="37EF137B"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(0.368)</w:t>
            </w:r>
          </w:p>
        </w:tc>
        <w:tc>
          <w:tcPr>
            <w:tcW w:w="552" w:type="pct"/>
            <w:tcBorders>
              <w:top w:val="nil"/>
              <w:left w:val="nil"/>
              <w:bottom w:val="nil"/>
              <w:right w:val="nil"/>
            </w:tcBorders>
          </w:tcPr>
          <w:p w14:paraId="69CB15AC"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(0.387)</w:t>
            </w:r>
          </w:p>
        </w:tc>
      </w:tr>
      <w:tr w:rsidR="00315077" w:rsidRPr="00354707" w14:paraId="73FA6D42" w14:textId="77777777" w:rsidTr="00315077">
        <w:trPr>
          <w:jc w:val="center"/>
        </w:trPr>
        <w:tc>
          <w:tcPr>
            <w:tcW w:w="588" w:type="pct"/>
            <w:tcBorders>
              <w:top w:val="nil"/>
              <w:left w:val="nil"/>
              <w:bottom w:val="nil"/>
              <w:right w:val="nil"/>
            </w:tcBorders>
          </w:tcPr>
          <w:p w14:paraId="5E8816CE" w14:textId="77777777" w:rsidR="00315077" w:rsidRPr="00354707" w:rsidRDefault="00315077" w:rsidP="00315077">
            <w:pPr>
              <w:widowControl w:val="0"/>
              <w:autoSpaceDE w:val="0"/>
              <w:autoSpaceDN w:val="0"/>
              <w:adjustRightInd w:val="0"/>
              <w:rPr>
                <w:sz w:val="18"/>
                <w:szCs w:val="18"/>
              </w:rPr>
            </w:pPr>
            <w:r w:rsidRPr="00354707">
              <w:rPr>
                <w:sz w:val="18"/>
                <w:szCs w:val="18"/>
              </w:rPr>
              <w:t>Age Squared</w:t>
            </w:r>
          </w:p>
        </w:tc>
        <w:tc>
          <w:tcPr>
            <w:tcW w:w="552" w:type="pct"/>
            <w:tcBorders>
              <w:top w:val="nil"/>
              <w:left w:val="nil"/>
              <w:bottom w:val="nil"/>
              <w:right w:val="nil"/>
            </w:tcBorders>
          </w:tcPr>
          <w:p w14:paraId="25DFC344"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-0.0188***</w:t>
            </w:r>
          </w:p>
        </w:tc>
        <w:tc>
          <w:tcPr>
            <w:tcW w:w="552" w:type="pct"/>
            <w:tcBorders>
              <w:top w:val="nil"/>
              <w:left w:val="nil"/>
              <w:bottom w:val="nil"/>
              <w:right w:val="nil"/>
            </w:tcBorders>
          </w:tcPr>
          <w:p w14:paraId="1452C6CC"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-0.0193***</w:t>
            </w:r>
          </w:p>
        </w:tc>
        <w:tc>
          <w:tcPr>
            <w:tcW w:w="552" w:type="pct"/>
            <w:tcBorders>
              <w:top w:val="nil"/>
              <w:left w:val="nil"/>
              <w:bottom w:val="nil"/>
              <w:right w:val="nil"/>
            </w:tcBorders>
          </w:tcPr>
          <w:p w14:paraId="46A13156"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-0.0193***</w:t>
            </w:r>
          </w:p>
        </w:tc>
        <w:tc>
          <w:tcPr>
            <w:tcW w:w="552" w:type="pct"/>
            <w:tcBorders>
              <w:top w:val="nil"/>
              <w:left w:val="nil"/>
              <w:bottom w:val="nil"/>
              <w:right w:val="nil"/>
            </w:tcBorders>
          </w:tcPr>
          <w:p w14:paraId="30EE970C"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-0.0198***</w:t>
            </w:r>
          </w:p>
        </w:tc>
        <w:tc>
          <w:tcPr>
            <w:tcW w:w="552" w:type="pct"/>
            <w:tcBorders>
              <w:top w:val="nil"/>
              <w:left w:val="nil"/>
              <w:bottom w:val="nil"/>
              <w:right w:val="nil"/>
            </w:tcBorders>
          </w:tcPr>
          <w:p w14:paraId="4C2562ED"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-0.0198***</w:t>
            </w:r>
          </w:p>
        </w:tc>
        <w:tc>
          <w:tcPr>
            <w:tcW w:w="552" w:type="pct"/>
            <w:tcBorders>
              <w:top w:val="nil"/>
              <w:left w:val="nil"/>
              <w:bottom w:val="nil"/>
              <w:right w:val="nil"/>
            </w:tcBorders>
          </w:tcPr>
          <w:p w14:paraId="51510772"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-0.0202***</w:t>
            </w:r>
          </w:p>
        </w:tc>
        <w:tc>
          <w:tcPr>
            <w:tcW w:w="552" w:type="pct"/>
            <w:tcBorders>
              <w:top w:val="nil"/>
              <w:left w:val="nil"/>
              <w:bottom w:val="nil"/>
              <w:right w:val="nil"/>
            </w:tcBorders>
          </w:tcPr>
          <w:p w14:paraId="2C978917"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-0.0189***</w:t>
            </w:r>
          </w:p>
        </w:tc>
        <w:tc>
          <w:tcPr>
            <w:tcW w:w="552" w:type="pct"/>
            <w:tcBorders>
              <w:top w:val="nil"/>
              <w:left w:val="nil"/>
              <w:bottom w:val="nil"/>
              <w:right w:val="nil"/>
            </w:tcBorders>
          </w:tcPr>
          <w:p w14:paraId="4C7307AE"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-0.0194***</w:t>
            </w:r>
          </w:p>
        </w:tc>
      </w:tr>
      <w:tr w:rsidR="00315077" w:rsidRPr="00354707" w14:paraId="33E9B428" w14:textId="77777777" w:rsidTr="00315077">
        <w:trPr>
          <w:jc w:val="center"/>
        </w:trPr>
        <w:tc>
          <w:tcPr>
            <w:tcW w:w="588" w:type="pct"/>
            <w:tcBorders>
              <w:top w:val="nil"/>
              <w:left w:val="nil"/>
              <w:bottom w:val="nil"/>
              <w:right w:val="nil"/>
            </w:tcBorders>
          </w:tcPr>
          <w:p w14:paraId="693E6F04" w14:textId="77777777" w:rsidR="00315077" w:rsidRPr="00354707" w:rsidRDefault="00315077" w:rsidP="00315077">
            <w:pPr>
              <w:widowControl w:val="0"/>
              <w:autoSpaceDE w:val="0"/>
              <w:autoSpaceDN w:val="0"/>
              <w:adjustRightInd w:val="0"/>
              <w:rPr>
                <w:sz w:val="18"/>
                <w:szCs w:val="18"/>
              </w:rPr>
            </w:pPr>
          </w:p>
        </w:tc>
        <w:tc>
          <w:tcPr>
            <w:tcW w:w="552" w:type="pct"/>
            <w:tcBorders>
              <w:top w:val="nil"/>
              <w:left w:val="nil"/>
              <w:bottom w:val="nil"/>
              <w:right w:val="nil"/>
            </w:tcBorders>
          </w:tcPr>
          <w:p w14:paraId="1B35D7FA"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(0.00341)</w:t>
            </w:r>
          </w:p>
        </w:tc>
        <w:tc>
          <w:tcPr>
            <w:tcW w:w="552" w:type="pct"/>
            <w:tcBorders>
              <w:top w:val="nil"/>
              <w:left w:val="nil"/>
              <w:bottom w:val="nil"/>
              <w:right w:val="nil"/>
            </w:tcBorders>
          </w:tcPr>
          <w:p w14:paraId="7BAB5E65"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(0.00363)</w:t>
            </w:r>
          </w:p>
        </w:tc>
        <w:tc>
          <w:tcPr>
            <w:tcW w:w="552" w:type="pct"/>
            <w:tcBorders>
              <w:top w:val="nil"/>
              <w:left w:val="nil"/>
              <w:bottom w:val="nil"/>
              <w:right w:val="nil"/>
            </w:tcBorders>
          </w:tcPr>
          <w:p w14:paraId="78513AF4"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(0.00340)</w:t>
            </w:r>
          </w:p>
        </w:tc>
        <w:tc>
          <w:tcPr>
            <w:tcW w:w="552" w:type="pct"/>
            <w:tcBorders>
              <w:top w:val="nil"/>
              <w:left w:val="nil"/>
              <w:bottom w:val="nil"/>
              <w:right w:val="nil"/>
            </w:tcBorders>
          </w:tcPr>
          <w:p w14:paraId="5F4FA2FE"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(0.00362)</w:t>
            </w:r>
          </w:p>
        </w:tc>
        <w:tc>
          <w:tcPr>
            <w:tcW w:w="552" w:type="pct"/>
            <w:tcBorders>
              <w:top w:val="nil"/>
              <w:left w:val="nil"/>
              <w:bottom w:val="nil"/>
              <w:right w:val="nil"/>
            </w:tcBorders>
          </w:tcPr>
          <w:p w14:paraId="0D2CC9F6"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(0.00351)</w:t>
            </w:r>
          </w:p>
        </w:tc>
        <w:tc>
          <w:tcPr>
            <w:tcW w:w="552" w:type="pct"/>
            <w:tcBorders>
              <w:top w:val="nil"/>
              <w:left w:val="nil"/>
              <w:bottom w:val="nil"/>
              <w:right w:val="nil"/>
            </w:tcBorders>
          </w:tcPr>
          <w:p w14:paraId="0A4C9420"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(0.00373)</w:t>
            </w:r>
          </w:p>
        </w:tc>
        <w:tc>
          <w:tcPr>
            <w:tcW w:w="552" w:type="pct"/>
            <w:tcBorders>
              <w:top w:val="nil"/>
              <w:left w:val="nil"/>
              <w:bottom w:val="nil"/>
              <w:right w:val="nil"/>
            </w:tcBorders>
          </w:tcPr>
          <w:p w14:paraId="36DB341E"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(0.00346)</w:t>
            </w:r>
          </w:p>
        </w:tc>
        <w:tc>
          <w:tcPr>
            <w:tcW w:w="552" w:type="pct"/>
            <w:tcBorders>
              <w:top w:val="nil"/>
              <w:left w:val="nil"/>
              <w:bottom w:val="nil"/>
              <w:right w:val="nil"/>
            </w:tcBorders>
          </w:tcPr>
          <w:p w14:paraId="126B27FC"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(0.00366)</w:t>
            </w:r>
          </w:p>
        </w:tc>
      </w:tr>
      <w:tr w:rsidR="00315077" w:rsidRPr="00354707" w14:paraId="785C94C8" w14:textId="77777777" w:rsidTr="00315077">
        <w:trPr>
          <w:jc w:val="center"/>
        </w:trPr>
        <w:tc>
          <w:tcPr>
            <w:tcW w:w="588" w:type="pct"/>
            <w:tcBorders>
              <w:top w:val="nil"/>
              <w:left w:val="nil"/>
              <w:bottom w:val="nil"/>
              <w:right w:val="nil"/>
            </w:tcBorders>
          </w:tcPr>
          <w:p w14:paraId="27B1328E" w14:textId="77777777" w:rsidR="00315077" w:rsidRPr="00354707" w:rsidRDefault="00315077" w:rsidP="00315077">
            <w:pPr>
              <w:widowControl w:val="0"/>
              <w:autoSpaceDE w:val="0"/>
              <w:autoSpaceDN w:val="0"/>
              <w:adjustRightInd w:val="0"/>
              <w:rPr>
                <w:sz w:val="18"/>
                <w:szCs w:val="18"/>
              </w:rPr>
            </w:pPr>
            <w:r w:rsidRPr="00354707">
              <w:rPr>
                <w:sz w:val="18"/>
                <w:szCs w:val="18"/>
              </w:rPr>
              <w:t>Graduate Degree</w:t>
            </w:r>
          </w:p>
        </w:tc>
        <w:tc>
          <w:tcPr>
            <w:tcW w:w="552" w:type="pct"/>
            <w:tcBorders>
              <w:top w:val="nil"/>
              <w:left w:val="nil"/>
              <w:bottom w:val="nil"/>
              <w:right w:val="nil"/>
            </w:tcBorders>
          </w:tcPr>
          <w:p w14:paraId="53ED4B20"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0.203</w:t>
            </w:r>
          </w:p>
        </w:tc>
        <w:tc>
          <w:tcPr>
            <w:tcW w:w="552" w:type="pct"/>
            <w:tcBorders>
              <w:top w:val="nil"/>
              <w:left w:val="nil"/>
              <w:bottom w:val="nil"/>
              <w:right w:val="nil"/>
            </w:tcBorders>
          </w:tcPr>
          <w:p w14:paraId="5167E6C9"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0.249</w:t>
            </w:r>
          </w:p>
        </w:tc>
        <w:tc>
          <w:tcPr>
            <w:tcW w:w="552" w:type="pct"/>
            <w:tcBorders>
              <w:top w:val="nil"/>
              <w:left w:val="nil"/>
              <w:bottom w:val="nil"/>
              <w:right w:val="nil"/>
            </w:tcBorders>
          </w:tcPr>
          <w:p w14:paraId="1A0D96E5"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0.177</w:t>
            </w:r>
          </w:p>
        </w:tc>
        <w:tc>
          <w:tcPr>
            <w:tcW w:w="552" w:type="pct"/>
            <w:tcBorders>
              <w:top w:val="nil"/>
              <w:left w:val="nil"/>
              <w:bottom w:val="nil"/>
              <w:right w:val="nil"/>
            </w:tcBorders>
          </w:tcPr>
          <w:p w14:paraId="16629BEC"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0.229</w:t>
            </w:r>
          </w:p>
        </w:tc>
        <w:tc>
          <w:tcPr>
            <w:tcW w:w="552" w:type="pct"/>
            <w:tcBorders>
              <w:top w:val="nil"/>
              <w:left w:val="nil"/>
              <w:bottom w:val="nil"/>
              <w:right w:val="nil"/>
            </w:tcBorders>
          </w:tcPr>
          <w:p w14:paraId="60046035"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0.204</w:t>
            </w:r>
          </w:p>
        </w:tc>
        <w:tc>
          <w:tcPr>
            <w:tcW w:w="552" w:type="pct"/>
            <w:tcBorders>
              <w:top w:val="nil"/>
              <w:left w:val="nil"/>
              <w:bottom w:val="nil"/>
              <w:right w:val="nil"/>
            </w:tcBorders>
          </w:tcPr>
          <w:p w14:paraId="22EBC94B"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0.244</w:t>
            </w:r>
          </w:p>
        </w:tc>
        <w:tc>
          <w:tcPr>
            <w:tcW w:w="552" w:type="pct"/>
            <w:tcBorders>
              <w:top w:val="nil"/>
              <w:left w:val="nil"/>
              <w:bottom w:val="nil"/>
              <w:right w:val="nil"/>
            </w:tcBorders>
          </w:tcPr>
          <w:p w14:paraId="4A95F546"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0.196</w:t>
            </w:r>
          </w:p>
        </w:tc>
        <w:tc>
          <w:tcPr>
            <w:tcW w:w="552" w:type="pct"/>
            <w:tcBorders>
              <w:top w:val="nil"/>
              <w:left w:val="nil"/>
              <w:bottom w:val="nil"/>
              <w:right w:val="nil"/>
            </w:tcBorders>
          </w:tcPr>
          <w:p w14:paraId="75EF4CA7"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0.249</w:t>
            </w:r>
          </w:p>
        </w:tc>
      </w:tr>
      <w:tr w:rsidR="00315077" w:rsidRPr="00354707" w14:paraId="15B3EE34" w14:textId="77777777" w:rsidTr="00315077">
        <w:trPr>
          <w:jc w:val="center"/>
        </w:trPr>
        <w:tc>
          <w:tcPr>
            <w:tcW w:w="588" w:type="pct"/>
            <w:tcBorders>
              <w:top w:val="nil"/>
              <w:left w:val="nil"/>
              <w:bottom w:val="nil"/>
              <w:right w:val="nil"/>
            </w:tcBorders>
          </w:tcPr>
          <w:p w14:paraId="12C4AF13" w14:textId="77777777" w:rsidR="00315077" w:rsidRPr="00354707" w:rsidRDefault="00315077" w:rsidP="00315077">
            <w:pPr>
              <w:widowControl w:val="0"/>
              <w:autoSpaceDE w:val="0"/>
              <w:autoSpaceDN w:val="0"/>
              <w:adjustRightInd w:val="0"/>
              <w:rPr>
                <w:sz w:val="18"/>
                <w:szCs w:val="18"/>
              </w:rPr>
            </w:pPr>
          </w:p>
        </w:tc>
        <w:tc>
          <w:tcPr>
            <w:tcW w:w="552" w:type="pct"/>
            <w:tcBorders>
              <w:top w:val="nil"/>
              <w:left w:val="nil"/>
              <w:bottom w:val="nil"/>
              <w:right w:val="nil"/>
            </w:tcBorders>
          </w:tcPr>
          <w:p w14:paraId="1E7D2D78"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(0.289)</w:t>
            </w:r>
          </w:p>
        </w:tc>
        <w:tc>
          <w:tcPr>
            <w:tcW w:w="552" w:type="pct"/>
            <w:tcBorders>
              <w:top w:val="nil"/>
              <w:left w:val="nil"/>
              <w:bottom w:val="nil"/>
              <w:right w:val="nil"/>
            </w:tcBorders>
          </w:tcPr>
          <w:p w14:paraId="43460599"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(0.323)</w:t>
            </w:r>
          </w:p>
        </w:tc>
        <w:tc>
          <w:tcPr>
            <w:tcW w:w="552" w:type="pct"/>
            <w:tcBorders>
              <w:top w:val="nil"/>
              <w:left w:val="nil"/>
              <w:bottom w:val="nil"/>
              <w:right w:val="nil"/>
            </w:tcBorders>
          </w:tcPr>
          <w:p w14:paraId="7051907A"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(0.286)</w:t>
            </w:r>
          </w:p>
        </w:tc>
        <w:tc>
          <w:tcPr>
            <w:tcW w:w="552" w:type="pct"/>
            <w:tcBorders>
              <w:top w:val="nil"/>
              <w:left w:val="nil"/>
              <w:bottom w:val="nil"/>
              <w:right w:val="nil"/>
            </w:tcBorders>
          </w:tcPr>
          <w:p w14:paraId="0420869E"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(0.319)</w:t>
            </w:r>
          </w:p>
        </w:tc>
        <w:tc>
          <w:tcPr>
            <w:tcW w:w="552" w:type="pct"/>
            <w:tcBorders>
              <w:top w:val="nil"/>
              <w:left w:val="nil"/>
              <w:bottom w:val="nil"/>
              <w:right w:val="nil"/>
            </w:tcBorders>
          </w:tcPr>
          <w:p w14:paraId="6ED91D42"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(0.290)</w:t>
            </w:r>
          </w:p>
        </w:tc>
        <w:tc>
          <w:tcPr>
            <w:tcW w:w="552" w:type="pct"/>
            <w:tcBorders>
              <w:top w:val="nil"/>
              <w:left w:val="nil"/>
              <w:bottom w:val="nil"/>
              <w:right w:val="nil"/>
            </w:tcBorders>
          </w:tcPr>
          <w:p w14:paraId="1A446038"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(0.321)</w:t>
            </w:r>
          </w:p>
        </w:tc>
        <w:tc>
          <w:tcPr>
            <w:tcW w:w="552" w:type="pct"/>
            <w:tcBorders>
              <w:top w:val="nil"/>
              <w:left w:val="nil"/>
              <w:bottom w:val="nil"/>
              <w:right w:val="nil"/>
            </w:tcBorders>
          </w:tcPr>
          <w:p w14:paraId="4C2C05E8"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(0.288)</w:t>
            </w:r>
          </w:p>
        </w:tc>
        <w:tc>
          <w:tcPr>
            <w:tcW w:w="552" w:type="pct"/>
            <w:tcBorders>
              <w:top w:val="nil"/>
              <w:left w:val="nil"/>
              <w:bottom w:val="nil"/>
              <w:right w:val="nil"/>
            </w:tcBorders>
          </w:tcPr>
          <w:p w14:paraId="4FEB6CA6"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(0.322)</w:t>
            </w:r>
          </w:p>
        </w:tc>
      </w:tr>
      <w:tr w:rsidR="00315077" w:rsidRPr="00354707" w14:paraId="69F704D1" w14:textId="77777777" w:rsidTr="00315077">
        <w:trPr>
          <w:jc w:val="center"/>
        </w:trPr>
        <w:tc>
          <w:tcPr>
            <w:tcW w:w="588" w:type="pct"/>
            <w:tcBorders>
              <w:top w:val="nil"/>
              <w:left w:val="nil"/>
              <w:bottom w:val="nil"/>
              <w:right w:val="nil"/>
            </w:tcBorders>
          </w:tcPr>
          <w:p w14:paraId="32C608D3" w14:textId="77777777" w:rsidR="00315077" w:rsidRPr="00354707" w:rsidRDefault="00315077" w:rsidP="00315077">
            <w:pPr>
              <w:widowControl w:val="0"/>
              <w:autoSpaceDE w:val="0"/>
              <w:autoSpaceDN w:val="0"/>
              <w:adjustRightInd w:val="0"/>
              <w:rPr>
                <w:sz w:val="18"/>
                <w:szCs w:val="18"/>
              </w:rPr>
            </w:pPr>
            <w:r w:rsidRPr="00354707">
              <w:rPr>
                <w:sz w:val="18"/>
                <w:szCs w:val="18"/>
              </w:rPr>
              <w:t>Xi</w:t>
            </w:r>
          </w:p>
        </w:tc>
        <w:tc>
          <w:tcPr>
            <w:tcW w:w="552" w:type="pct"/>
            <w:tcBorders>
              <w:top w:val="nil"/>
              <w:left w:val="nil"/>
              <w:bottom w:val="nil"/>
              <w:right w:val="nil"/>
            </w:tcBorders>
          </w:tcPr>
          <w:p w14:paraId="724D4883"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0.0515</w:t>
            </w:r>
          </w:p>
        </w:tc>
        <w:tc>
          <w:tcPr>
            <w:tcW w:w="552" w:type="pct"/>
            <w:tcBorders>
              <w:top w:val="nil"/>
              <w:left w:val="nil"/>
              <w:bottom w:val="nil"/>
              <w:right w:val="nil"/>
            </w:tcBorders>
          </w:tcPr>
          <w:p w14:paraId="19E3BCD5"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0.0372</w:t>
            </w:r>
          </w:p>
        </w:tc>
        <w:tc>
          <w:tcPr>
            <w:tcW w:w="552" w:type="pct"/>
            <w:tcBorders>
              <w:top w:val="nil"/>
              <w:left w:val="nil"/>
              <w:bottom w:val="nil"/>
              <w:right w:val="nil"/>
            </w:tcBorders>
          </w:tcPr>
          <w:p w14:paraId="50CFF8F1"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0.0400</w:t>
            </w:r>
          </w:p>
        </w:tc>
        <w:tc>
          <w:tcPr>
            <w:tcW w:w="552" w:type="pct"/>
            <w:tcBorders>
              <w:top w:val="nil"/>
              <w:left w:val="nil"/>
              <w:bottom w:val="nil"/>
              <w:right w:val="nil"/>
            </w:tcBorders>
          </w:tcPr>
          <w:p w14:paraId="558E0CEB"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0.0226</w:t>
            </w:r>
          </w:p>
        </w:tc>
        <w:tc>
          <w:tcPr>
            <w:tcW w:w="552" w:type="pct"/>
            <w:tcBorders>
              <w:top w:val="nil"/>
              <w:left w:val="nil"/>
              <w:bottom w:val="nil"/>
              <w:right w:val="nil"/>
            </w:tcBorders>
          </w:tcPr>
          <w:p w14:paraId="45926545"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-0.0576</w:t>
            </w:r>
          </w:p>
        </w:tc>
        <w:tc>
          <w:tcPr>
            <w:tcW w:w="552" w:type="pct"/>
            <w:tcBorders>
              <w:top w:val="nil"/>
              <w:left w:val="nil"/>
              <w:bottom w:val="nil"/>
              <w:right w:val="nil"/>
            </w:tcBorders>
          </w:tcPr>
          <w:p w14:paraId="1C43D000"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-0.0664</w:t>
            </w:r>
          </w:p>
        </w:tc>
        <w:tc>
          <w:tcPr>
            <w:tcW w:w="552" w:type="pct"/>
            <w:tcBorders>
              <w:top w:val="nil"/>
              <w:left w:val="nil"/>
              <w:bottom w:val="nil"/>
              <w:right w:val="nil"/>
            </w:tcBorders>
          </w:tcPr>
          <w:p w14:paraId="708F51DC"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0.0478</w:t>
            </w:r>
          </w:p>
        </w:tc>
        <w:tc>
          <w:tcPr>
            <w:tcW w:w="552" w:type="pct"/>
            <w:tcBorders>
              <w:top w:val="nil"/>
              <w:left w:val="nil"/>
              <w:bottom w:val="nil"/>
              <w:right w:val="nil"/>
            </w:tcBorders>
          </w:tcPr>
          <w:p w14:paraId="45445829"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0.0313</w:t>
            </w:r>
          </w:p>
        </w:tc>
      </w:tr>
      <w:tr w:rsidR="00315077" w:rsidRPr="00354707" w14:paraId="3B77326A" w14:textId="77777777" w:rsidTr="00315077">
        <w:trPr>
          <w:jc w:val="center"/>
        </w:trPr>
        <w:tc>
          <w:tcPr>
            <w:tcW w:w="588" w:type="pct"/>
            <w:tcBorders>
              <w:top w:val="nil"/>
              <w:left w:val="nil"/>
              <w:bottom w:val="nil"/>
              <w:right w:val="nil"/>
            </w:tcBorders>
          </w:tcPr>
          <w:p w14:paraId="4480C3A8" w14:textId="77777777" w:rsidR="00315077" w:rsidRPr="00354707" w:rsidRDefault="00315077" w:rsidP="00315077">
            <w:pPr>
              <w:widowControl w:val="0"/>
              <w:autoSpaceDE w:val="0"/>
              <w:autoSpaceDN w:val="0"/>
              <w:adjustRightInd w:val="0"/>
              <w:rPr>
                <w:sz w:val="18"/>
                <w:szCs w:val="18"/>
              </w:rPr>
            </w:pPr>
          </w:p>
        </w:tc>
        <w:tc>
          <w:tcPr>
            <w:tcW w:w="552" w:type="pct"/>
            <w:tcBorders>
              <w:top w:val="nil"/>
              <w:left w:val="nil"/>
              <w:bottom w:val="nil"/>
              <w:right w:val="nil"/>
            </w:tcBorders>
          </w:tcPr>
          <w:p w14:paraId="1ADED5EE"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(0.217)</w:t>
            </w:r>
          </w:p>
        </w:tc>
        <w:tc>
          <w:tcPr>
            <w:tcW w:w="552" w:type="pct"/>
            <w:tcBorders>
              <w:top w:val="nil"/>
              <w:left w:val="nil"/>
              <w:bottom w:val="nil"/>
              <w:right w:val="nil"/>
            </w:tcBorders>
          </w:tcPr>
          <w:p w14:paraId="71C1D364"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(0.229)</w:t>
            </w:r>
          </w:p>
        </w:tc>
        <w:tc>
          <w:tcPr>
            <w:tcW w:w="552" w:type="pct"/>
            <w:tcBorders>
              <w:top w:val="nil"/>
              <w:left w:val="nil"/>
              <w:bottom w:val="nil"/>
              <w:right w:val="nil"/>
            </w:tcBorders>
          </w:tcPr>
          <w:p w14:paraId="33D78B8E"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(0.209)</w:t>
            </w:r>
          </w:p>
        </w:tc>
        <w:tc>
          <w:tcPr>
            <w:tcW w:w="552" w:type="pct"/>
            <w:tcBorders>
              <w:top w:val="nil"/>
              <w:left w:val="nil"/>
              <w:bottom w:val="nil"/>
              <w:right w:val="nil"/>
            </w:tcBorders>
          </w:tcPr>
          <w:p w14:paraId="6F119389"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(0.223)</w:t>
            </w:r>
          </w:p>
        </w:tc>
        <w:tc>
          <w:tcPr>
            <w:tcW w:w="552" w:type="pct"/>
            <w:tcBorders>
              <w:top w:val="nil"/>
              <w:left w:val="nil"/>
              <w:bottom w:val="nil"/>
              <w:right w:val="nil"/>
            </w:tcBorders>
          </w:tcPr>
          <w:p w14:paraId="1055DD84"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(0.217)</w:t>
            </w:r>
          </w:p>
        </w:tc>
        <w:tc>
          <w:tcPr>
            <w:tcW w:w="552" w:type="pct"/>
            <w:tcBorders>
              <w:top w:val="nil"/>
              <w:left w:val="nil"/>
              <w:bottom w:val="nil"/>
              <w:right w:val="nil"/>
            </w:tcBorders>
          </w:tcPr>
          <w:p w14:paraId="491FD669"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(0.231)</w:t>
            </w:r>
          </w:p>
        </w:tc>
        <w:tc>
          <w:tcPr>
            <w:tcW w:w="552" w:type="pct"/>
            <w:tcBorders>
              <w:top w:val="nil"/>
              <w:left w:val="nil"/>
              <w:bottom w:val="nil"/>
              <w:right w:val="nil"/>
            </w:tcBorders>
          </w:tcPr>
          <w:p w14:paraId="65716298"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(0.215)</w:t>
            </w:r>
          </w:p>
        </w:tc>
        <w:tc>
          <w:tcPr>
            <w:tcW w:w="552" w:type="pct"/>
            <w:tcBorders>
              <w:top w:val="nil"/>
              <w:left w:val="nil"/>
              <w:bottom w:val="nil"/>
              <w:right w:val="nil"/>
            </w:tcBorders>
          </w:tcPr>
          <w:p w14:paraId="49E04300"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(0.228)</w:t>
            </w:r>
          </w:p>
        </w:tc>
      </w:tr>
      <w:tr w:rsidR="00315077" w:rsidRPr="00354707" w14:paraId="4BC0B526" w14:textId="77777777" w:rsidTr="00315077">
        <w:trPr>
          <w:jc w:val="center"/>
        </w:trPr>
        <w:tc>
          <w:tcPr>
            <w:tcW w:w="588" w:type="pct"/>
            <w:tcBorders>
              <w:top w:val="nil"/>
              <w:left w:val="nil"/>
              <w:bottom w:val="nil"/>
              <w:right w:val="nil"/>
            </w:tcBorders>
          </w:tcPr>
          <w:p w14:paraId="66D5D70F" w14:textId="77777777" w:rsidR="00315077" w:rsidRPr="00354707" w:rsidRDefault="00315077" w:rsidP="00315077">
            <w:pPr>
              <w:widowControl w:val="0"/>
              <w:autoSpaceDE w:val="0"/>
              <w:autoSpaceDN w:val="0"/>
              <w:adjustRightInd w:val="0"/>
              <w:rPr>
                <w:sz w:val="18"/>
                <w:szCs w:val="18"/>
              </w:rPr>
            </w:pPr>
            <w:r w:rsidRPr="00354707">
              <w:rPr>
                <w:sz w:val="18"/>
                <w:szCs w:val="18"/>
              </w:rPr>
              <w:t>Constant</w:t>
            </w:r>
          </w:p>
        </w:tc>
        <w:tc>
          <w:tcPr>
            <w:tcW w:w="552" w:type="pct"/>
            <w:tcBorders>
              <w:top w:val="nil"/>
              <w:left w:val="nil"/>
              <w:bottom w:val="nil"/>
              <w:right w:val="nil"/>
            </w:tcBorders>
          </w:tcPr>
          <w:p w14:paraId="34A85063"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-40.99***</w:t>
            </w:r>
          </w:p>
        </w:tc>
        <w:tc>
          <w:tcPr>
            <w:tcW w:w="552" w:type="pct"/>
            <w:tcBorders>
              <w:top w:val="nil"/>
              <w:left w:val="nil"/>
              <w:bottom w:val="nil"/>
              <w:right w:val="nil"/>
            </w:tcBorders>
          </w:tcPr>
          <w:p w14:paraId="3820BC0F"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-43.10***</w:t>
            </w:r>
          </w:p>
        </w:tc>
        <w:tc>
          <w:tcPr>
            <w:tcW w:w="552" w:type="pct"/>
            <w:tcBorders>
              <w:top w:val="nil"/>
              <w:left w:val="nil"/>
              <w:bottom w:val="nil"/>
              <w:right w:val="nil"/>
            </w:tcBorders>
          </w:tcPr>
          <w:p w14:paraId="5ADB59F9"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-42.41***</w:t>
            </w:r>
          </w:p>
        </w:tc>
        <w:tc>
          <w:tcPr>
            <w:tcW w:w="552" w:type="pct"/>
            <w:tcBorders>
              <w:top w:val="nil"/>
              <w:left w:val="nil"/>
              <w:bottom w:val="nil"/>
              <w:right w:val="nil"/>
            </w:tcBorders>
          </w:tcPr>
          <w:p w14:paraId="2C178D16"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-44.37***</w:t>
            </w:r>
          </w:p>
        </w:tc>
        <w:tc>
          <w:tcPr>
            <w:tcW w:w="552" w:type="pct"/>
            <w:tcBorders>
              <w:top w:val="nil"/>
              <w:left w:val="nil"/>
              <w:bottom w:val="nil"/>
              <w:right w:val="nil"/>
            </w:tcBorders>
          </w:tcPr>
          <w:p w14:paraId="1E8C407D"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-43.91***</w:t>
            </w:r>
          </w:p>
        </w:tc>
        <w:tc>
          <w:tcPr>
            <w:tcW w:w="552" w:type="pct"/>
            <w:tcBorders>
              <w:top w:val="nil"/>
              <w:left w:val="nil"/>
              <w:bottom w:val="nil"/>
              <w:right w:val="nil"/>
            </w:tcBorders>
          </w:tcPr>
          <w:p w14:paraId="0592B76E"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-45.76***</w:t>
            </w:r>
          </w:p>
        </w:tc>
        <w:tc>
          <w:tcPr>
            <w:tcW w:w="552" w:type="pct"/>
            <w:tcBorders>
              <w:top w:val="nil"/>
              <w:left w:val="nil"/>
              <w:bottom w:val="nil"/>
              <w:right w:val="nil"/>
            </w:tcBorders>
          </w:tcPr>
          <w:p w14:paraId="6893BD64"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-41.66***</w:t>
            </w:r>
          </w:p>
        </w:tc>
        <w:tc>
          <w:tcPr>
            <w:tcW w:w="552" w:type="pct"/>
            <w:tcBorders>
              <w:top w:val="nil"/>
              <w:left w:val="nil"/>
              <w:bottom w:val="nil"/>
              <w:right w:val="nil"/>
            </w:tcBorders>
          </w:tcPr>
          <w:p w14:paraId="06D59BA5"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-43.63***</w:t>
            </w:r>
          </w:p>
        </w:tc>
      </w:tr>
      <w:tr w:rsidR="00315077" w:rsidRPr="00354707" w14:paraId="27186D44" w14:textId="77777777" w:rsidTr="00315077">
        <w:trPr>
          <w:jc w:val="center"/>
        </w:trPr>
        <w:tc>
          <w:tcPr>
            <w:tcW w:w="588" w:type="pct"/>
            <w:tcBorders>
              <w:top w:val="nil"/>
              <w:left w:val="nil"/>
              <w:bottom w:val="nil"/>
              <w:right w:val="nil"/>
            </w:tcBorders>
          </w:tcPr>
          <w:p w14:paraId="3AF25317" w14:textId="77777777" w:rsidR="00315077" w:rsidRPr="00354707" w:rsidRDefault="00315077" w:rsidP="00315077">
            <w:pPr>
              <w:widowControl w:val="0"/>
              <w:autoSpaceDE w:val="0"/>
              <w:autoSpaceDN w:val="0"/>
              <w:adjustRightInd w:val="0"/>
              <w:rPr>
                <w:sz w:val="18"/>
                <w:szCs w:val="18"/>
              </w:rPr>
            </w:pPr>
          </w:p>
        </w:tc>
        <w:tc>
          <w:tcPr>
            <w:tcW w:w="552" w:type="pct"/>
            <w:tcBorders>
              <w:top w:val="nil"/>
              <w:left w:val="nil"/>
              <w:bottom w:val="nil"/>
              <w:right w:val="nil"/>
            </w:tcBorders>
          </w:tcPr>
          <w:p w14:paraId="7D6A5C7D"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(9.434)</w:t>
            </w:r>
          </w:p>
        </w:tc>
        <w:tc>
          <w:tcPr>
            <w:tcW w:w="552" w:type="pct"/>
            <w:tcBorders>
              <w:top w:val="nil"/>
              <w:left w:val="nil"/>
              <w:bottom w:val="nil"/>
              <w:right w:val="nil"/>
            </w:tcBorders>
          </w:tcPr>
          <w:p w14:paraId="746B1E05"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(9.930)</w:t>
            </w:r>
          </w:p>
        </w:tc>
        <w:tc>
          <w:tcPr>
            <w:tcW w:w="552" w:type="pct"/>
            <w:tcBorders>
              <w:top w:val="nil"/>
              <w:left w:val="nil"/>
              <w:bottom w:val="nil"/>
              <w:right w:val="nil"/>
            </w:tcBorders>
          </w:tcPr>
          <w:p w14:paraId="4C6B9456"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(9.464)</w:t>
            </w:r>
          </w:p>
        </w:tc>
        <w:tc>
          <w:tcPr>
            <w:tcW w:w="552" w:type="pct"/>
            <w:tcBorders>
              <w:top w:val="nil"/>
              <w:left w:val="nil"/>
              <w:bottom w:val="nil"/>
              <w:right w:val="nil"/>
            </w:tcBorders>
          </w:tcPr>
          <w:p w14:paraId="56267E15"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(9.938)</w:t>
            </w:r>
          </w:p>
        </w:tc>
        <w:tc>
          <w:tcPr>
            <w:tcW w:w="552" w:type="pct"/>
            <w:tcBorders>
              <w:top w:val="nil"/>
              <w:left w:val="nil"/>
              <w:bottom w:val="nil"/>
              <w:right w:val="nil"/>
            </w:tcBorders>
          </w:tcPr>
          <w:p w14:paraId="1DBFD97A"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(9.759)</w:t>
            </w:r>
          </w:p>
        </w:tc>
        <w:tc>
          <w:tcPr>
            <w:tcW w:w="552" w:type="pct"/>
            <w:tcBorders>
              <w:top w:val="nil"/>
              <w:left w:val="nil"/>
              <w:bottom w:val="nil"/>
              <w:right w:val="nil"/>
            </w:tcBorders>
          </w:tcPr>
          <w:p w14:paraId="6406DBBC"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(10.24)</w:t>
            </w:r>
          </w:p>
        </w:tc>
        <w:tc>
          <w:tcPr>
            <w:tcW w:w="552" w:type="pct"/>
            <w:tcBorders>
              <w:top w:val="nil"/>
              <w:left w:val="nil"/>
              <w:bottom w:val="nil"/>
              <w:right w:val="nil"/>
            </w:tcBorders>
          </w:tcPr>
          <w:p w14:paraId="7628A0E6"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(9.658)</w:t>
            </w:r>
          </w:p>
        </w:tc>
        <w:tc>
          <w:tcPr>
            <w:tcW w:w="552" w:type="pct"/>
            <w:tcBorders>
              <w:top w:val="nil"/>
              <w:left w:val="nil"/>
              <w:bottom w:val="nil"/>
              <w:right w:val="nil"/>
            </w:tcBorders>
          </w:tcPr>
          <w:p w14:paraId="0FB17D16"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(10.07)</w:t>
            </w:r>
          </w:p>
        </w:tc>
      </w:tr>
      <w:tr w:rsidR="00315077" w:rsidRPr="00354707" w14:paraId="004665FF" w14:textId="77777777" w:rsidTr="00315077">
        <w:trPr>
          <w:jc w:val="center"/>
        </w:trPr>
        <w:tc>
          <w:tcPr>
            <w:tcW w:w="588" w:type="pct"/>
            <w:tcBorders>
              <w:top w:val="nil"/>
              <w:left w:val="nil"/>
              <w:bottom w:val="nil"/>
              <w:right w:val="nil"/>
            </w:tcBorders>
          </w:tcPr>
          <w:p w14:paraId="6F248CFC" w14:textId="77777777" w:rsidR="00315077" w:rsidRPr="00354707" w:rsidRDefault="00315077" w:rsidP="00315077">
            <w:pPr>
              <w:widowControl w:val="0"/>
              <w:autoSpaceDE w:val="0"/>
              <w:autoSpaceDN w:val="0"/>
              <w:adjustRightInd w:val="0"/>
              <w:rPr>
                <w:sz w:val="18"/>
                <w:szCs w:val="18"/>
              </w:rPr>
            </w:pPr>
          </w:p>
        </w:tc>
        <w:tc>
          <w:tcPr>
            <w:tcW w:w="552" w:type="pct"/>
            <w:tcBorders>
              <w:top w:val="nil"/>
              <w:left w:val="nil"/>
              <w:bottom w:val="nil"/>
              <w:right w:val="nil"/>
            </w:tcBorders>
          </w:tcPr>
          <w:p w14:paraId="6841A418"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394112FF"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10829828"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7D13EFFF"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00EB160E"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55B9D9D9"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55E72D9A" w14:textId="77777777" w:rsidR="00315077" w:rsidRPr="00354707" w:rsidRDefault="00315077" w:rsidP="00315077">
            <w:pPr>
              <w:widowControl w:val="0"/>
              <w:autoSpaceDE w:val="0"/>
              <w:autoSpaceDN w:val="0"/>
              <w:adjustRightInd w:val="0"/>
              <w:jc w:val="center"/>
              <w:rPr>
                <w:sz w:val="18"/>
                <w:szCs w:val="18"/>
              </w:rPr>
            </w:pPr>
          </w:p>
        </w:tc>
        <w:tc>
          <w:tcPr>
            <w:tcW w:w="552" w:type="pct"/>
            <w:tcBorders>
              <w:top w:val="nil"/>
              <w:left w:val="nil"/>
              <w:bottom w:val="nil"/>
              <w:right w:val="nil"/>
            </w:tcBorders>
          </w:tcPr>
          <w:p w14:paraId="20CD5519" w14:textId="77777777" w:rsidR="00315077" w:rsidRPr="00354707" w:rsidRDefault="00315077" w:rsidP="00315077">
            <w:pPr>
              <w:widowControl w:val="0"/>
              <w:autoSpaceDE w:val="0"/>
              <w:autoSpaceDN w:val="0"/>
              <w:adjustRightInd w:val="0"/>
              <w:jc w:val="center"/>
              <w:rPr>
                <w:sz w:val="18"/>
                <w:szCs w:val="18"/>
              </w:rPr>
            </w:pPr>
          </w:p>
        </w:tc>
      </w:tr>
      <w:tr w:rsidR="00315077" w:rsidRPr="00354707" w14:paraId="645A5A04" w14:textId="77777777" w:rsidTr="00315077">
        <w:trPr>
          <w:jc w:val="center"/>
        </w:trPr>
        <w:tc>
          <w:tcPr>
            <w:tcW w:w="588" w:type="pct"/>
            <w:tcBorders>
              <w:top w:val="nil"/>
              <w:left w:val="nil"/>
              <w:bottom w:val="nil"/>
              <w:right w:val="nil"/>
            </w:tcBorders>
          </w:tcPr>
          <w:p w14:paraId="27C386CF" w14:textId="77777777" w:rsidR="00315077" w:rsidRPr="00354707" w:rsidRDefault="00315077" w:rsidP="00315077">
            <w:pPr>
              <w:widowControl w:val="0"/>
              <w:autoSpaceDE w:val="0"/>
              <w:autoSpaceDN w:val="0"/>
              <w:adjustRightInd w:val="0"/>
              <w:rPr>
                <w:sz w:val="18"/>
                <w:szCs w:val="18"/>
              </w:rPr>
            </w:pPr>
            <w:r w:rsidRPr="00354707">
              <w:rPr>
                <w:sz w:val="18"/>
                <w:szCs w:val="18"/>
              </w:rPr>
              <w:t>Observations</w:t>
            </w:r>
          </w:p>
        </w:tc>
        <w:tc>
          <w:tcPr>
            <w:tcW w:w="552" w:type="pct"/>
            <w:tcBorders>
              <w:top w:val="nil"/>
              <w:left w:val="nil"/>
              <w:bottom w:val="nil"/>
              <w:right w:val="nil"/>
            </w:tcBorders>
          </w:tcPr>
          <w:p w14:paraId="13177C42"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1,165</w:t>
            </w:r>
          </w:p>
        </w:tc>
        <w:tc>
          <w:tcPr>
            <w:tcW w:w="552" w:type="pct"/>
            <w:tcBorders>
              <w:top w:val="nil"/>
              <w:left w:val="nil"/>
              <w:bottom w:val="nil"/>
              <w:right w:val="nil"/>
            </w:tcBorders>
          </w:tcPr>
          <w:p w14:paraId="0706B5AA"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1,045</w:t>
            </w:r>
          </w:p>
        </w:tc>
        <w:tc>
          <w:tcPr>
            <w:tcW w:w="552" w:type="pct"/>
            <w:tcBorders>
              <w:top w:val="nil"/>
              <w:left w:val="nil"/>
              <w:bottom w:val="nil"/>
              <w:right w:val="nil"/>
            </w:tcBorders>
          </w:tcPr>
          <w:p w14:paraId="2773EB63"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1,165</w:t>
            </w:r>
          </w:p>
        </w:tc>
        <w:tc>
          <w:tcPr>
            <w:tcW w:w="552" w:type="pct"/>
            <w:tcBorders>
              <w:top w:val="nil"/>
              <w:left w:val="nil"/>
              <w:bottom w:val="nil"/>
              <w:right w:val="nil"/>
            </w:tcBorders>
          </w:tcPr>
          <w:p w14:paraId="251A0A63"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1,045</w:t>
            </w:r>
          </w:p>
        </w:tc>
        <w:tc>
          <w:tcPr>
            <w:tcW w:w="552" w:type="pct"/>
            <w:tcBorders>
              <w:top w:val="nil"/>
              <w:left w:val="nil"/>
              <w:bottom w:val="nil"/>
              <w:right w:val="nil"/>
            </w:tcBorders>
          </w:tcPr>
          <w:p w14:paraId="730D2E23"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1,165</w:t>
            </w:r>
          </w:p>
        </w:tc>
        <w:tc>
          <w:tcPr>
            <w:tcW w:w="552" w:type="pct"/>
            <w:tcBorders>
              <w:top w:val="nil"/>
              <w:left w:val="nil"/>
              <w:bottom w:val="nil"/>
              <w:right w:val="nil"/>
            </w:tcBorders>
          </w:tcPr>
          <w:p w14:paraId="5BAFDB11"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1,045</w:t>
            </w:r>
          </w:p>
        </w:tc>
        <w:tc>
          <w:tcPr>
            <w:tcW w:w="552" w:type="pct"/>
            <w:tcBorders>
              <w:top w:val="nil"/>
              <w:left w:val="nil"/>
              <w:bottom w:val="nil"/>
              <w:right w:val="nil"/>
            </w:tcBorders>
          </w:tcPr>
          <w:p w14:paraId="0473F9D0"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1,165</w:t>
            </w:r>
          </w:p>
        </w:tc>
        <w:tc>
          <w:tcPr>
            <w:tcW w:w="552" w:type="pct"/>
            <w:tcBorders>
              <w:top w:val="nil"/>
              <w:left w:val="nil"/>
              <w:bottom w:val="nil"/>
              <w:right w:val="nil"/>
            </w:tcBorders>
          </w:tcPr>
          <w:p w14:paraId="704363D8"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1,045</w:t>
            </w:r>
          </w:p>
        </w:tc>
      </w:tr>
      <w:tr w:rsidR="00315077" w:rsidRPr="00354707" w14:paraId="1CA0A938" w14:textId="77777777" w:rsidTr="00315077">
        <w:tblPrEx>
          <w:tblBorders>
            <w:bottom w:val="single" w:sz="6" w:space="0" w:color="auto"/>
          </w:tblBorders>
        </w:tblPrEx>
        <w:trPr>
          <w:jc w:val="center"/>
        </w:trPr>
        <w:tc>
          <w:tcPr>
            <w:tcW w:w="588" w:type="pct"/>
            <w:tcBorders>
              <w:top w:val="nil"/>
              <w:left w:val="nil"/>
              <w:bottom w:val="single" w:sz="6" w:space="0" w:color="auto"/>
              <w:right w:val="nil"/>
            </w:tcBorders>
          </w:tcPr>
          <w:p w14:paraId="793C31BA" w14:textId="77777777" w:rsidR="00315077" w:rsidRPr="00354707" w:rsidRDefault="00315077" w:rsidP="00315077">
            <w:pPr>
              <w:widowControl w:val="0"/>
              <w:autoSpaceDE w:val="0"/>
              <w:autoSpaceDN w:val="0"/>
              <w:adjustRightInd w:val="0"/>
              <w:rPr>
                <w:sz w:val="18"/>
                <w:szCs w:val="18"/>
              </w:rPr>
            </w:pPr>
            <w:r w:rsidRPr="00354707">
              <w:rPr>
                <w:sz w:val="18"/>
                <w:szCs w:val="18"/>
              </w:rPr>
              <w:t>Pseudo R2</w:t>
            </w:r>
          </w:p>
        </w:tc>
        <w:tc>
          <w:tcPr>
            <w:tcW w:w="552" w:type="pct"/>
            <w:tcBorders>
              <w:top w:val="nil"/>
              <w:left w:val="nil"/>
              <w:bottom w:val="single" w:sz="6" w:space="0" w:color="auto"/>
              <w:right w:val="nil"/>
            </w:tcBorders>
          </w:tcPr>
          <w:p w14:paraId="154CAA74"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0.242</w:t>
            </w:r>
          </w:p>
        </w:tc>
        <w:tc>
          <w:tcPr>
            <w:tcW w:w="552" w:type="pct"/>
            <w:tcBorders>
              <w:top w:val="nil"/>
              <w:left w:val="nil"/>
              <w:bottom w:val="single" w:sz="6" w:space="0" w:color="auto"/>
              <w:right w:val="nil"/>
            </w:tcBorders>
          </w:tcPr>
          <w:p w14:paraId="3933DD9D"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0.237</w:t>
            </w:r>
          </w:p>
        </w:tc>
        <w:tc>
          <w:tcPr>
            <w:tcW w:w="552" w:type="pct"/>
            <w:tcBorders>
              <w:top w:val="nil"/>
              <w:left w:val="nil"/>
              <w:bottom w:val="single" w:sz="6" w:space="0" w:color="auto"/>
              <w:right w:val="nil"/>
            </w:tcBorders>
          </w:tcPr>
          <w:p w14:paraId="15C98FBA"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0.241</w:t>
            </w:r>
          </w:p>
        </w:tc>
        <w:tc>
          <w:tcPr>
            <w:tcW w:w="552" w:type="pct"/>
            <w:tcBorders>
              <w:top w:val="nil"/>
              <w:left w:val="nil"/>
              <w:bottom w:val="single" w:sz="6" w:space="0" w:color="auto"/>
              <w:right w:val="nil"/>
            </w:tcBorders>
          </w:tcPr>
          <w:p w14:paraId="709B952E"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0.236</w:t>
            </w:r>
          </w:p>
        </w:tc>
        <w:tc>
          <w:tcPr>
            <w:tcW w:w="552" w:type="pct"/>
            <w:tcBorders>
              <w:top w:val="nil"/>
              <w:left w:val="nil"/>
              <w:bottom w:val="single" w:sz="6" w:space="0" w:color="auto"/>
              <w:right w:val="nil"/>
            </w:tcBorders>
          </w:tcPr>
          <w:p w14:paraId="1BB6F1E9"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0.244</w:t>
            </w:r>
          </w:p>
        </w:tc>
        <w:tc>
          <w:tcPr>
            <w:tcW w:w="552" w:type="pct"/>
            <w:tcBorders>
              <w:top w:val="nil"/>
              <w:left w:val="nil"/>
              <w:bottom w:val="single" w:sz="6" w:space="0" w:color="auto"/>
              <w:right w:val="nil"/>
            </w:tcBorders>
          </w:tcPr>
          <w:p w14:paraId="546B3635"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0.240</w:t>
            </w:r>
          </w:p>
        </w:tc>
        <w:tc>
          <w:tcPr>
            <w:tcW w:w="552" w:type="pct"/>
            <w:tcBorders>
              <w:top w:val="nil"/>
              <w:left w:val="nil"/>
              <w:bottom w:val="single" w:sz="6" w:space="0" w:color="auto"/>
              <w:right w:val="nil"/>
            </w:tcBorders>
          </w:tcPr>
          <w:p w14:paraId="300B82CB"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0.246</w:t>
            </w:r>
          </w:p>
        </w:tc>
        <w:tc>
          <w:tcPr>
            <w:tcW w:w="552" w:type="pct"/>
            <w:tcBorders>
              <w:top w:val="nil"/>
              <w:left w:val="nil"/>
              <w:bottom w:val="single" w:sz="6" w:space="0" w:color="auto"/>
              <w:right w:val="nil"/>
            </w:tcBorders>
          </w:tcPr>
          <w:p w14:paraId="44A58308" w14:textId="77777777" w:rsidR="00315077" w:rsidRPr="00354707" w:rsidRDefault="00315077" w:rsidP="00315077">
            <w:pPr>
              <w:widowControl w:val="0"/>
              <w:autoSpaceDE w:val="0"/>
              <w:autoSpaceDN w:val="0"/>
              <w:adjustRightInd w:val="0"/>
              <w:jc w:val="center"/>
              <w:rPr>
                <w:sz w:val="18"/>
                <w:szCs w:val="18"/>
              </w:rPr>
            </w:pPr>
            <w:r w:rsidRPr="00354707">
              <w:rPr>
                <w:sz w:val="18"/>
                <w:szCs w:val="18"/>
              </w:rPr>
              <w:t>0.240</w:t>
            </w:r>
          </w:p>
        </w:tc>
      </w:tr>
    </w:tbl>
    <w:p w14:paraId="5A887E9E" w14:textId="77777777" w:rsidR="00315077" w:rsidRPr="00971912" w:rsidRDefault="00315077" w:rsidP="00315077">
      <w:pPr>
        <w:widowControl w:val="0"/>
        <w:autoSpaceDE w:val="0"/>
        <w:autoSpaceDN w:val="0"/>
        <w:adjustRightInd w:val="0"/>
        <w:jc w:val="center"/>
        <w:rPr>
          <w:sz w:val="20"/>
          <w:szCs w:val="20"/>
        </w:rPr>
      </w:pPr>
      <w:r w:rsidRPr="00971912">
        <w:rPr>
          <w:sz w:val="20"/>
          <w:szCs w:val="20"/>
        </w:rPr>
        <w:t>Robust standard errors clustered at individual level in parentheses</w:t>
      </w:r>
    </w:p>
    <w:p w14:paraId="416E52DB" w14:textId="77777777" w:rsidR="00315077" w:rsidRPr="00971912" w:rsidRDefault="00315077" w:rsidP="00315077">
      <w:pPr>
        <w:widowControl w:val="0"/>
        <w:autoSpaceDE w:val="0"/>
        <w:autoSpaceDN w:val="0"/>
        <w:adjustRightInd w:val="0"/>
        <w:jc w:val="center"/>
        <w:rPr>
          <w:sz w:val="20"/>
          <w:szCs w:val="20"/>
        </w:rPr>
      </w:pPr>
      <w:r w:rsidRPr="00971912">
        <w:rPr>
          <w:sz w:val="20"/>
          <w:szCs w:val="20"/>
        </w:rPr>
        <w:t>*** p&lt;0.01, ** p&lt;0.05, * p&lt;0.10</w:t>
      </w:r>
    </w:p>
    <w:p w14:paraId="406D8522" w14:textId="77777777" w:rsidR="00315077" w:rsidRPr="00971912" w:rsidRDefault="00315077" w:rsidP="00315077">
      <w:pPr>
        <w:widowControl w:val="0"/>
        <w:autoSpaceDE w:val="0"/>
        <w:autoSpaceDN w:val="0"/>
        <w:adjustRightInd w:val="0"/>
        <w:jc w:val="center"/>
        <w:rPr>
          <w:sz w:val="20"/>
          <w:szCs w:val="20"/>
        </w:rPr>
      </w:pPr>
      <w:r w:rsidRPr="00971912">
        <w:rPr>
          <w:sz w:val="20"/>
          <w:szCs w:val="20"/>
        </w:rPr>
        <w:t>Models include foreign exchange indicator for data source</w:t>
      </w:r>
      <w:r w:rsidRPr="00D75E5D">
        <w:rPr>
          <w:sz w:val="20"/>
          <w:szCs w:val="20"/>
        </w:rPr>
        <w:t xml:space="preserve"> and industry fixed effects</w:t>
      </w:r>
      <w:r w:rsidRPr="00971912">
        <w:rPr>
          <w:sz w:val="20"/>
          <w:szCs w:val="20"/>
        </w:rPr>
        <w:t>.</w:t>
      </w:r>
    </w:p>
    <w:p w14:paraId="44994091" w14:textId="77777777" w:rsidR="00315077" w:rsidRDefault="00315077" w:rsidP="00315077">
      <w:pPr>
        <w:spacing w:after="160"/>
      </w:pPr>
    </w:p>
    <w:p w14:paraId="464EE500" w14:textId="77777777" w:rsidR="00315077" w:rsidRPr="003E4B63" w:rsidRDefault="00315077" w:rsidP="00315077">
      <w:pPr>
        <w:spacing w:after="160"/>
        <w:sectPr w:rsidR="00315077" w:rsidRPr="003E4B63" w:rsidSect="00315077">
          <w:pgSz w:w="12240" w:h="15840"/>
          <w:pgMar w:top="1440" w:right="1440" w:bottom="1440" w:left="1440" w:header="720" w:footer="720" w:gutter="0"/>
          <w:cols w:space="720"/>
          <w:docGrid w:linePitch="360"/>
        </w:sectPr>
      </w:pPr>
    </w:p>
    <w:p w14:paraId="239DDC76" w14:textId="4B1AA8DC" w:rsidR="00315077" w:rsidRPr="00127C2E" w:rsidRDefault="00315077" w:rsidP="00127C2E">
      <w:pPr>
        <w:jc w:val="center"/>
        <w:rPr>
          <w:b/>
          <w:bCs/>
        </w:rPr>
      </w:pPr>
      <w:r w:rsidRPr="00127C2E">
        <w:rPr>
          <w:b/>
          <w:bCs/>
        </w:rPr>
        <w:lastRenderedPageBreak/>
        <w:t>Table A6</w:t>
      </w:r>
      <w:r w:rsidR="00127C2E" w:rsidRPr="00127C2E">
        <w:rPr>
          <w:b/>
          <w:bCs/>
        </w:rPr>
        <w:t xml:space="preserve">: </w:t>
      </w:r>
      <w:r w:rsidRPr="00127C2E">
        <w:rPr>
          <w:b/>
          <w:bCs/>
        </w:rPr>
        <w:t>Multinomial Performance Models of Exit, Stay in SOE, or Transfer to Government</w:t>
      </w:r>
    </w:p>
    <w:p w14:paraId="7A1F6EC9" w14:textId="77777777" w:rsidR="00315077" w:rsidRDefault="00315077" w:rsidP="00315077">
      <w:pPr>
        <w:jc w:val="center"/>
        <w:rPr>
          <w:rFonts w:asciiTheme="minorHAnsi" w:hAnsiTheme="minorHAnsi"/>
        </w:rPr>
      </w:pPr>
    </w:p>
    <w:tbl>
      <w:tblPr>
        <w:tblW w:w="0" w:type="auto"/>
        <w:jc w:val="center"/>
        <w:tblCellMar>
          <w:left w:w="75" w:type="dxa"/>
          <w:right w:w="75" w:type="dxa"/>
        </w:tblCellMar>
        <w:tblLook w:val="0000" w:firstRow="0" w:lastRow="0" w:firstColumn="0" w:lastColumn="0" w:noHBand="0" w:noVBand="0"/>
      </w:tblPr>
      <w:tblGrid>
        <w:gridCol w:w="2383"/>
        <w:gridCol w:w="1000"/>
        <w:gridCol w:w="934"/>
        <w:gridCol w:w="1000"/>
        <w:gridCol w:w="967"/>
        <w:gridCol w:w="1000"/>
        <w:gridCol w:w="934"/>
        <w:gridCol w:w="1000"/>
        <w:gridCol w:w="967"/>
        <w:gridCol w:w="1000"/>
        <w:gridCol w:w="934"/>
      </w:tblGrid>
      <w:tr w:rsidR="00315077" w:rsidRPr="009B5B20" w14:paraId="40C9BA8D" w14:textId="77777777" w:rsidTr="00315077">
        <w:trPr>
          <w:jc w:val="center"/>
        </w:trPr>
        <w:tc>
          <w:tcPr>
            <w:tcW w:w="0" w:type="auto"/>
            <w:tcBorders>
              <w:top w:val="single" w:sz="6" w:space="0" w:color="auto"/>
              <w:left w:val="nil"/>
              <w:bottom w:val="nil"/>
              <w:right w:val="nil"/>
            </w:tcBorders>
          </w:tcPr>
          <w:p w14:paraId="22E9FFA5" w14:textId="77777777" w:rsidR="00315077" w:rsidRPr="009B5B20" w:rsidRDefault="00315077" w:rsidP="00315077">
            <w:pPr>
              <w:widowControl w:val="0"/>
              <w:autoSpaceDE w:val="0"/>
              <w:autoSpaceDN w:val="0"/>
              <w:adjustRightInd w:val="0"/>
              <w:rPr>
                <w:sz w:val="20"/>
                <w:szCs w:val="20"/>
              </w:rPr>
            </w:pPr>
          </w:p>
        </w:tc>
        <w:tc>
          <w:tcPr>
            <w:tcW w:w="0" w:type="auto"/>
            <w:tcBorders>
              <w:top w:val="single" w:sz="6" w:space="0" w:color="auto"/>
              <w:left w:val="nil"/>
              <w:bottom w:val="nil"/>
              <w:right w:val="nil"/>
            </w:tcBorders>
          </w:tcPr>
          <w:p w14:paraId="060122B4"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w:t>
            </w:r>
          </w:p>
        </w:tc>
        <w:tc>
          <w:tcPr>
            <w:tcW w:w="0" w:type="auto"/>
            <w:tcBorders>
              <w:top w:val="single" w:sz="6" w:space="0" w:color="auto"/>
              <w:left w:val="nil"/>
              <w:bottom w:val="nil"/>
              <w:right w:val="nil"/>
            </w:tcBorders>
          </w:tcPr>
          <w:p w14:paraId="749D0AFC"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(3)</w:t>
            </w:r>
          </w:p>
        </w:tc>
        <w:tc>
          <w:tcPr>
            <w:tcW w:w="0" w:type="auto"/>
            <w:tcBorders>
              <w:top w:val="single" w:sz="6" w:space="0" w:color="auto"/>
              <w:left w:val="nil"/>
              <w:bottom w:val="nil"/>
              <w:right w:val="nil"/>
            </w:tcBorders>
          </w:tcPr>
          <w:p w14:paraId="47BB5D35"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(4)</w:t>
            </w:r>
          </w:p>
        </w:tc>
        <w:tc>
          <w:tcPr>
            <w:tcW w:w="0" w:type="auto"/>
            <w:tcBorders>
              <w:top w:val="single" w:sz="6" w:space="0" w:color="auto"/>
              <w:left w:val="nil"/>
              <w:bottom w:val="nil"/>
              <w:right w:val="nil"/>
            </w:tcBorders>
          </w:tcPr>
          <w:p w14:paraId="79F3973D"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(6)</w:t>
            </w:r>
          </w:p>
        </w:tc>
        <w:tc>
          <w:tcPr>
            <w:tcW w:w="0" w:type="auto"/>
            <w:tcBorders>
              <w:top w:val="single" w:sz="6" w:space="0" w:color="auto"/>
              <w:left w:val="nil"/>
              <w:bottom w:val="nil"/>
              <w:right w:val="nil"/>
            </w:tcBorders>
          </w:tcPr>
          <w:p w14:paraId="10FDE8F6"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(7)</w:t>
            </w:r>
          </w:p>
        </w:tc>
        <w:tc>
          <w:tcPr>
            <w:tcW w:w="0" w:type="auto"/>
            <w:tcBorders>
              <w:top w:val="single" w:sz="6" w:space="0" w:color="auto"/>
              <w:left w:val="nil"/>
              <w:bottom w:val="nil"/>
              <w:right w:val="nil"/>
            </w:tcBorders>
          </w:tcPr>
          <w:p w14:paraId="77DEEB1F"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(9)</w:t>
            </w:r>
          </w:p>
        </w:tc>
        <w:tc>
          <w:tcPr>
            <w:tcW w:w="0" w:type="auto"/>
            <w:tcBorders>
              <w:top w:val="single" w:sz="6" w:space="0" w:color="auto"/>
              <w:left w:val="nil"/>
              <w:bottom w:val="nil"/>
              <w:right w:val="nil"/>
            </w:tcBorders>
          </w:tcPr>
          <w:p w14:paraId="3DEF0896"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(10)</w:t>
            </w:r>
          </w:p>
        </w:tc>
        <w:tc>
          <w:tcPr>
            <w:tcW w:w="0" w:type="auto"/>
            <w:tcBorders>
              <w:top w:val="single" w:sz="6" w:space="0" w:color="auto"/>
              <w:left w:val="nil"/>
              <w:bottom w:val="nil"/>
              <w:right w:val="nil"/>
            </w:tcBorders>
          </w:tcPr>
          <w:p w14:paraId="162933F1"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(12)</w:t>
            </w:r>
          </w:p>
        </w:tc>
        <w:tc>
          <w:tcPr>
            <w:tcW w:w="0" w:type="auto"/>
            <w:tcBorders>
              <w:top w:val="single" w:sz="6" w:space="0" w:color="auto"/>
              <w:left w:val="nil"/>
              <w:bottom w:val="nil"/>
              <w:right w:val="nil"/>
            </w:tcBorders>
          </w:tcPr>
          <w:p w14:paraId="45BA6909"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(13)</w:t>
            </w:r>
          </w:p>
        </w:tc>
        <w:tc>
          <w:tcPr>
            <w:tcW w:w="0" w:type="auto"/>
            <w:tcBorders>
              <w:top w:val="single" w:sz="6" w:space="0" w:color="auto"/>
              <w:left w:val="nil"/>
              <w:bottom w:val="nil"/>
              <w:right w:val="nil"/>
            </w:tcBorders>
          </w:tcPr>
          <w:p w14:paraId="1B5C58DC"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(15)</w:t>
            </w:r>
          </w:p>
        </w:tc>
      </w:tr>
      <w:tr w:rsidR="00315077" w:rsidRPr="009B5B20" w14:paraId="411F6CB4" w14:textId="77777777" w:rsidTr="00315077">
        <w:trPr>
          <w:jc w:val="center"/>
        </w:trPr>
        <w:tc>
          <w:tcPr>
            <w:tcW w:w="0" w:type="auto"/>
            <w:tcBorders>
              <w:top w:val="nil"/>
              <w:left w:val="nil"/>
              <w:bottom w:val="single" w:sz="6" w:space="0" w:color="auto"/>
              <w:right w:val="nil"/>
            </w:tcBorders>
          </w:tcPr>
          <w:p w14:paraId="160689C5" w14:textId="77777777" w:rsidR="00315077" w:rsidRPr="009B5B20" w:rsidRDefault="00315077" w:rsidP="00315077">
            <w:pPr>
              <w:widowControl w:val="0"/>
              <w:autoSpaceDE w:val="0"/>
              <w:autoSpaceDN w:val="0"/>
              <w:adjustRightInd w:val="0"/>
              <w:rPr>
                <w:sz w:val="20"/>
                <w:szCs w:val="20"/>
              </w:rPr>
            </w:pPr>
            <w:r w:rsidRPr="009B5B20">
              <w:rPr>
                <w:sz w:val="20"/>
                <w:szCs w:val="20"/>
              </w:rPr>
              <w:t>VARIABLES</w:t>
            </w:r>
          </w:p>
        </w:tc>
        <w:tc>
          <w:tcPr>
            <w:tcW w:w="0" w:type="auto"/>
            <w:tcBorders>
              <w:top w:val="nil"/>
              <w:left w:val="nil"/>
              <w:bottom w:val="single" w:sz="6" w:space="0" w:color="auto"/>
              <w:right w:val="nil"/>
            </w:tcBorders>
          </w:tcPr>
          <w:p w14:paraId="13DFF62D" w14:textId="77777777" w:rsidR="00315077" w:rsidRPr="009B5B20" w:rsidRDefault="00315077" w:rsidP="00315077">
            <w:pPr>
              <w:widowControl w:val="0"/>
              <w:autoSpaceDE w:val="0"/>
              <w:autoSpaceDN w:val="0"/>
              <w:adjustRightInd w:val="0"/>
              <w:jc w:val="center"/>
              <w:rPr>
                <w:sz w:val="20"/>
                <w:szCs w:val="20"/>
              </w:rPr>
            </w:pPr>
            <w:r>
              <w:rPr>
                <w:sz w:val="20"/>
                <w:szCs w:val="20"/>
              </w:rPr>
              <w:t>Exit</w:t>
            </w:r>
          </w:p>
        </w:tc>
        <w:tc>
          <w:tcPr>
            <w:tcW w:w="0" w:type="auto"/>
            <w:tcBorders>
              <w:top w:val="nil"/>
              <w:left w:val="nil"/>
              <w:bottom w:val="single" w:sz="6" w:space="0" w:color="auto"/>
              <w:right w:val="nil"/>
            </w:tcBorders>
          </w:tcPr>
          <w:p w14:paraId="11F3EB40" w14:textId="77777777" w:rsidR="00315077" w:rsidRPr="009B5B20" w:rsidRDefault="00315077" w:rsidP="00315077">
            <w:pPr>
              <w:widowControl w:val="0"/>
              <w:autoSpaceDE w:val="0"/>
              <w:autoSpaceDN w:val="0"/>
              <w:adjustRightInd w:val="0"/>
              <w:jc w:val="center"/>
              <w:rPr>
                <w:sz w:val="20"/>
                <w:szCs w:val="20"/>
              </w:rPr>
            </w:pPr>
            <w:r>
              <w:rPr>
                <w:sz w:val="20"/>
                <w:szCs w:val="20"/>
              </w:rPr>
              <w:t>Gov’t</w:t>
            </w:r>
          </w:p>
        </w:tc>
        <w:tc>
          <w:tcPr>
            <w:tcW w:w="0" w:type="auto"/>
            <w:tcBorders>
              <w:top w:val="nil"/>
              <w:left w:val="nil"/>
              <w:bottom w:val="single" w:sz="6" w:space="0" w:color="auto"/>
              <w:right w:val="nil"/>
            </w:tcBorders>
          </w:tcPr>
          <w:p w14:paraId="5594B3FD" w14:textId="77777777" w:rsidR="00315077" w:rsidRPr="009B5B20" w:rsidRDefault="00315077" w:rsidP="00315077">
            <w:pPr>
              <w:widowControl w:val="0"/>
              <w:autoSpaceDE w:val="0"/>
              <w:autoSpaceDN w:val="0"/>
              <w:adjustRightInd w:val="0"/>
              <w:jc w:val="center"/>
              <w:rPr>
                <w:sz w:val="20"/>
                <w:szCs w:val="20"/>
              </w:rPr>
            </w:pPr>
            <w:r>
              <w:rPr>
                <w:sz w:val="20"/>
                <w:szCs w:val="20"/>
              </w:rPr>
              <w:t>Exit</w:t>
            </w:r>
          </w:p>
        </w:tc>
        <w:tc>
          <w:tcPr>
            <w:tcW w:w="0" w:type="auto"/>
            <w:tcBorders>
              <w:top w:val="nil"/>
              <w:left w:val="nil"/>
              <w:bottom w:val="single" w:sz="6" w:space="0" w:color="auto"/>
              <w:right w:val="nil"/>
            </w:tcBorders>
          </w:tcPr>
          <w:p w14:paraId="44C9E486" w14:textId="77777777" w:rsidR="00315077" w:rsidRPr="009B5B20" w:rsidRDefault="00315077" w:rsidP="00315077">
            <w:pPr>
              <w:widowControl w:val="0"/>
              <w:autoSpaceDE w:val="0"/>
              <w:autoSpaceDN w:val="0"/>
              <w:adjustRightInd w:val="0"/>
              <w:jc w:val="center"/>
              <w:rPr>
                <w:sz w:val="20"/>
                <w:szCs w:val="20"/>
              </w:rPr>
            </w:pPr>
            <w:r>
              <w:rPr>
                <w:sz w:val="20"/>
                <w:szCs w:val="20"/>
              </w:rPr>
              <w:t>Gov’t</w:t>
            </w:r>
          </w:p>
        </w:tc>
        <w:tc>
          <w:tcPr>
            <w:tcW w:w="0" w:type="auto"/>
            <w:tcBorders>
              <w:top w:val="nil"/>
              <w:left w:val="nil"/>
              <w:bottom w:val="single" w:sz="6" w:space="0" w:color="auto"/>
              <w:right w:val="nil"/>
            </w:tcBorders>
          </w:tcPr>
          <w:p w14:paraId="1050CCF0" w14:textId="77777777" w:rsidR="00315077" w:rsidRPr="009B5B20" w:rsidRDefault="00315077" w:rsidP="00315077">
            <w:pPr>
              <w:widowControl w:val="0"/>
              <w:autoSpaceDE w:val="0"/>
              <w:autoSpaceDN w:val="0"/>
              <w:adjustRightInd w:val="0"/>
              <w:jc w:val="center"/>
              <w:rPr>
                <w:sz w:val="20"/>
                <w:szCs w:val="20"/>
              </w:rPr>
            </w:pPr>
            <w:r>
              <w:rPr>
                <w:sz w:val="20"/>
                <w:szCs w:val="20"/>
              </w:rPr>
              <w:t>Exit</w:t>
            </w:r>
          </w:p>
        </w:tc>
        <w:tc>
          <w:tcPr>
            <w:tcW w:w="0" w:type="auto"/>
            <w:tcBorders>
              <w:top w:val="nil"/>
              <w:left w:val="nil"/>
              <w:bottom w:val="single" w:sz="6" w:space="0" w:color="auto"/>
              <w:right w:val="nil"/>
            </w:tcBorders>
          </w:tcPr>
          <w:p w14:paraId="06D2C804" w14:textId="77777777" w:rsidR="00315077" w:rsidRPr="009B5B20" w:rsidRDefault="00315077" w:rsidP="00315077">
            <w:pPr>
              <w:widowControl w:val="0"/>
              <w:autoSpaceDE w:val="0"/>
              <w:autoSpaceDN w:val="0"/>
              <w:adjustRightInd w:val="0"/>
              <w:jc w:val="center"/>
              <w:rPr>
                <w:sz w:val="20"/>
                <w:szCs w:val="20"/>
              </w:rPr>
            </w:pPr>
            <w:r>
              <w:rPr>
                <w:sz w:val="20"/>
                <w:szCs w:val="20"/>
              </w:rPr>
              <w:t>Gov’t</w:t>
            </w:r>
          </w:p>
        </w:tc>
        <w:tc>
          <w:tcPr>
            <w:tcW w:w="0" w:type="auto"/>
            <w:tcBorders>
              <w:top w:val="nil"/>
              <w:left w:val="nil"/>
              <w:bottom w:val="single" w:sz="6" w:space="0" w:color="auto"/>
              <w:right w:val="nil"/>
            </w:tcBorders>
          </w:tcPr>
          <w:p w14:paraId="5F4FF71A" w14:textId="77777777" w:rsidR="00315077" w:rsidRPr="009B5B20" w:rsidRDefault="00315077" w:rsidP="00315077">
            <w:pPr>
              <w:widowControl w:val="0"/>
              <w:autoSpaceDE w:val="0"/>
              <w:autoSpaceDN w:val="0"/>
              <w:adjustRightInd w:val="0"/>
              <w:jc w:val="center"/>
              <w:rPr>
                <w:sz w:val="20"/>
                <w:szCs w:val="20"/>
              </w:rPr>
            </w:pPr>
            <w:r>
              <w:rPr>
                <w:sz w:val="20"/>
                <w:szCs w:val="20"/>
              </w:rPr>
              <w:t>Exit</w:t>
            </w:r>
          </w:p>
        </w:tc>
        <w:tc>
          <w:tcPr>
            <w:tcW w:w="0" w:type="auto"/>
            <w:tcBorders>
              <w:top w:val="nil"/>
              <w:left w:val="nil"/>
              <w:bottom w:val="single" w:sz="6" w:space="0" w:color="auto"/>
              <w:right w:val="nil"/>
            </w:tcBorders>
          </w:tcPr>
          <w:p w14:paraId="19C77C63" w14:textId="77777777" w:rsidR="00315077" w:rsidRPr="009B5B20" w:rsidRDefault="00315077" w:rsidP="00315077">
            <w:pPr>
              <w:widowControl w:val="0"/>
              <w:autoSpaceDE w:val="0"/>
              <w:autoSpaceDN w:val="0"/>
              <w:adjustRightInd w:val="0"/>
              <w:jc w:val="center"/>
              <w:rPr>
                <w:sz w:val="20"/>
                <w:szCs w:val="20"/>
              </w:rPr>
            </w:pPr>
            <w:r>
              <w:rPr>
                <w:sz w:val="20"/>
                <w:szCs w:val="20"/>
              </w:rPr>
              <w:t>Gov’t</w:t>
            </w:r>
          </w:p>
        </w:tc>
        <w:tc>
          <w:tcPr>
            <w:tcW w:w="0" w:type="auto"/>
            <w:tcBorders>
              <w:top w:val="nil"/>
              <w:left w:val="nil"/>
              <w:bottom w:val="single" w:sz="6" w:space="0" w:color="auto"/>
              <w:right w:val="nil"/>
            </w:tcBorders>
          </w:tcPr>
          <w:p w14:paraId="14FB9093" w14:textId="77777777" w:rsidR="00315077" w:rsidRPr="009B5B20" w:rsidRDefault="00315077" w:rsidP="00315077">
            <w:pPr>
              <w:widowControl w:val="0"/>
              <w:autoSpaceDE w:val="0"/>
              <w:autoSpaceDN w:val="0"/>
              <w:adjustRightInd w:val="0"/>
              <w:jc w:val="center"/>
              <w:rPr>
                <w:sz w:val="20"/>
                <w:szCs w:val="20"/>
              </w:rPr>
            </w:pPr>
            <w:r>
              <w:rPr>
                <w:sz w:val="20"/>
                <w:szCs w:val="20"/>
              </w:rPr>
              <w:t>Exit</w:t>
            </w:r>
          </w:p>
        </w:tc>
        <w:tc>
          <w:tcPr>
            <w:tcW w:w="0" w:type="auto"/>
            <w:tcBorders>
              <w:top w:val="nil"/>
              <w:left w:val="nil"/>
              <w:bottom w:val="single" w:sz="6" w:space="0" w:color="auto"/>
              <w:right w:val="nil"/>
            </w:tcBorders>
          </w:tcPr>
          <w:p w14:paraId="11E60A22" w14:textId="77777777" w:rsidR="00315077" w:rsidRPr="009B5B20" w:rsidRDefault="00315077" w:rsidP="00315077">
            <w:pPr>
              <w:widowControl w:val="0"/>
              <w:autoSpaceDE w:val="0"/>
              <w:autoSpaceDN w:val="0"/>
              <w:adjustRightInd w:val="0"/>
              <w:jc w:val="center"/>
              <w:rPr>
                <w:sz w:val="20"/>
                <w:szCs w:val="20"/>
              </w:rPr>
            </w:pPr>
            <w:r>
              <w:rPr>
                <w:sz w:val="20"/>
                <w:szCs w:val="20"/>
              </w:rPr>
              <w:t>Gov’t</w:t>
            </w:r>
          </w:p>
        </w:tc>
      </w:tr>
      <w:tr w:rsidR="00315077" w:rsidRPr="009B5B20" w14:paraId="25C23EB8" w14:textId="77777777" w:rsidTr="00315077">
        <w:trPr>
          <w:jc w:val="center"/>
        </w:trPr>
        <w:tc>
          <w:tcPr>
            <w:tcW w:w="0" w:type="auto"/>
            <w:tcBorders>
              <w:top w:val="nil"/>
              <w:left w:val="nil"/>
              <w:bottom w:val="nil"/>
              <w:right w:val="nil"/>
            </w:tcBorders>
          </w:tcPr>
          <w:p w14:paraId="6D9A11A0" w14:textId="77777777" w:rsidR="00315077" w:rsidRPr="009B5B20" w:rsidRDefault="00315077" w:rsidP="00315077">
            <w:pPr>
              <w:widowControl w:val="0"/>
              <w:autoSpaceDE w:val="0"/>
              <w:autoSpaceDN w:val="0"/>
              <w:adjustRightInd w:val="0"/>
              <w:rPr>
                <w:sz w:val="20"/>
                <w:szCs w:val="20"/>
              </w:rPr>
            </w:pPr>
          </w:p>
        </w:tc>
        <w:tc>
          <w:tcPr>
            <w:tcW w:w="0" w:type="auto"/>
            <w:tcBorders>
              <w:top w:val="nil"/>
              <w:left w:val="nil"/>
              <w:bottom w:val="nil"/>
              <w:right w:val="nil"/>
            </w:tcBorders>
          </w:tcPr>
          <w:p w14:paraId="4AA317F7"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6DDB4DD9"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114665FC"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54C33A9B"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60AC1FC7"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464BFC78"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6C216600"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5853091B"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04913B6F"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52A1D702" w14:textId="77777777" w:rsidR="00315077" w:rsidRPr="009B5B20" w:rsidRDefault="00315077" w:rsidP="00315077">
            <w:pPr>
              <w:widowControl w:val="0"/>
              <w:autoSpaceDE w:val="0"/>
              <w:autoSpaceDN w:val="0"/>
              <w:adjustRightInd w:val="0"/>
              <w:jc w:val="center"/>
              <w:rPr>
                <w:sz w:val="20"/>
                <w:szCs w:val="20"/>
              </w:rPr>
            </w:pPr>
          </w:p>
        </w:tc>
      </w:tr>
      <w:tr w:rsidR="00315077" w:rsidRPr="009B5B20" w14:paraId="1C2F75EE" w14:textId="77777777" w:rsidTr="00315077">
        <w:trPr>
          <w:jc w:val="center"/>
        </w:trPr>
        <w:tc>
          <w:tcPr>
            <w:tcW w:w="0" w:type="auto"/>
            <w:tcBorders>
              <w:top w:val="nil"/>
              <w:left w:val="nil"/>
              <w:bottom w:val="nil"/>
              <w:right w:val="nil"/>
            </w:tcBorders>
          </w:tcPr>
          <w:p w14:paraId="27ECEE44" w14:textId="77777777" w:rsidR="00315077" w:rsidRPr="009B5B20" w:rsidRDefault="00315077" w:rsidP="00315077">
            <w:pPr>
              <w:widowControl w:val="0"/>
              <w:autoSpaceDE w:val="0"/>
              <w:autoSpaceDN w:val="0"/>
              <w:adjustRightInd w:val="0"/>
              <w:rPr>
                <w:sz w:val="20"/>
                <w:szCs w:val="20"/>
              </w:rPr>
            </w:pPr>
            <w:r w:rsidRPr="009B5B20">
              <w:rPr>
                <w:sz w:val="20"/>
                <w:szCs w:val="20"/>
              </w:rPr>
              <w:t>ROA</w:t>
            </w:r>
          </w:p>
        </w:tc>
        <w:tc>
          <w:tcPr>
            <w:tcW w:w="0" w:type="auto"/>
            <w:tcBorders>
              <w:top w:val="nil"/>
              <w:left w:val="nil"/>
              <w:bottom w:val="nil"/>
              <w:right w:val="nil"/>
            </w:tcBorders>
          </w:tcPr>
          <w:p w14:paraId="477D5CE0"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-0.389</w:t>
            </w:r>
          </w:p>
        </w:tc>
        <w:tc>
          <w:tcPr>
            <w:tcW w:w="0" w:type="auto"/>
            <w:tcBorders>
              <w:top w:val="nil"/>
              <w:left w:val="nil"/>
              <w:bottom w:val="nil"/>
              <w:right w:val="nil"/>
            </w:tcBorders>
          </w:tcPr>
          <w:p w14:paraId="2F60E3BA"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-0.460</w:t>
            </w:r>
          </w:p>
        </w:tc>
        <w:tc>
          <w:tcPr>
            <w:tcW w:w="0" w:type="auto"/>
            <w:tcBorders>
              <w:top w:val="nil"/>
              <w:left w:val="nil"/>
              <w:bottom w:val="nil"/>
              <w:right w:val="nil"/>
            </w:tcBorders>
          </w:tcPr>
          <w:p w14:paraId="330D350E"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1CB935CD"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0851B98A"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-0.392</w:t>
            </w:r>
          </w:p>
        </w:tc>
        <w:tc>
          <w:tcPr>
            <w:tcW w:w="0" w:type="auto"/>
            <w:tcBorders>
              <w:top w:val="nil"/>
              <w:left w:val="nil"/>
              <w:bottom w:val="nil"/>
              <w:right w:val="nil"/>
            </w:tcBorders>
          </w:tcPr>
          <w:p w14:paraId="4247A239"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-0.458</w:t>
            </w:r>
          </w:p>
        </w:tc>
        <w:tc>
          <w:tcPr>
            <w:tcW w:w="0" w:type="auto"/>
            <w:tcBorders>
              <w:top w:val="nil"/>
              <w:left w:val="nil"/>
              <w:bottom w:val="nil"/>
              <w:right w:val="nil"/>
            </w:tcBorders>
          </w:tcPr>
          <w:p w14:paraId="51273C4C"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69411669"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01059C14"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4F416E40" w14:textId="77777777" w:rsidR="00315077" w:rsidRPr="009B5B20" w:rsidRDefault="00315077" w:rsidP="00315077">
            <w:pPr>
              <w:widowControl w:val="0"/>
              <w:autoSpaceDE w:val="0"/>
              <w:autoSpaceDN w:val="0"/>
              <w:adjustRightInd w:val="0"/>
              <w:jc w:val="center"/>
              <w:rPr>
                <w:sz w:val="20"/>
                <w:szCs w:val="20"/>
              </w:rPr>
            </w:pPr>
          </w:p>
        </w:tc>
      </w:tr>
      <w:tr w:rsidR="00315077" w:rsidRPr="009B5B20" w14:paraId="78C6C458" w14:textId="77777777" w:rsidTr="00315077">
        <w:trPr>
          <w:jc w:val="center"/>
        </w:trPr>
        <w:tc>
          <w:tcPr>
            <w:tcW w:w="0" w:type="auto"/>
            <w:tcBorders>
              <w:top w:val="nil"/>
              <w:left w:val="nil"/>
              <w:bottom w:val="nil"/>
              <w:right w:val="nil"/>
            </w:tcBorders>
          </w:tcPr>
          <w:p w14:paraId="63CBE0E2" w14:textId="77777777" w:rsidR="00315077" w:rsidRPr="009B5B20" w:rsidRDefault="00315077" w:rsidP="00315077">
            <w:pPr>
              <w:widowControl w:val="0"/>
              <w:autoSpaceDE w:val="0"/>
              <w:autoSpaceDN w:val="0"/>
              <w:adjustRightInd w:val="0"/>
              <w:rPr>
                <w:sz w:val="20"/>
                <w:szCs w:val="20"/>
              </w:rPr>
            </w:pPr>
          </w:p>
        </w:tc>
        <w:tc>
          <w:tcPr>
            <w:tcW w:w="0" w:type="auto"/>
            <w:tcBorders>
              <w:top w:val="nil"/>
              <w:left w:val="nil"/>
              <w:bottom w:val="nil"/>
              <w:right w:val="nil"/>
            </w:tcBorders>
          </w:tcPr>
          <w:p w14:paraId="1F7F2B80"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(0.287)</w:t>
            </w:r>
          </w:p>
        </w:tc>
        <w:tc>
          <w:tcPr>
            <w:tcW w:w="0" w:type="auto"/>
            <w:tcBorders>
              <w:top w:val="nil"/>
              <w:left w:val="nil"/>
              <w:bottom w:val="nil"/>
              <w:right w:val="nil"/>
            </w:tcBorders>
          </w:tcPr>
          <w:p w14:paraId="6CB48877"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(0.410)</w:t>
            </w:r>
          </w:p>
        </w:tc>
        <w:tc>
          <w:tcPr>
            <w:tcW w:w="0" w:type="auto"/>
            <w:tcBorders>
              <w:top w:val="nil"/>
              <w:left w:val="nil"/>
              <w:bottom w:val="nil"/>
              <w:right w:val="nil"/>
            </w:tcBorders>
          </w:tcPr>
          <w:p w14:paraId="64E43B8F"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22CDC062"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4A5A2480"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(0.307)</w:t>
            </w:r>
          </w:p>
        </w:tc>
        <w:tc>
          <w:tcPr>
            <w:tcW w:w="0" w:type="auto"/>
            <w:tcBorders>
              <w:top w:val="nil"/>
              <w:left w:val="nil"/>
              <w:bottom w:val="nil"/>
              <w:right w:val="nil"/>
            </w:tcBorders>
          </w:tcPr>
          <w:p w14:paraId="7F37257A"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(0.406)</w:t>
            </w:r>
          </w:p>
        </w:tc>
        <w:tc>
          <w:tcPr>
            <w:tcW w:w="0" w:type="auto"/>
            <w:tcBorders>
              <w:top w:val="nil"/>
              <w:left w:val="nil"/>
              <w:bottom w:val="nil"/>
              <w:right w:val="nil"/>
            </w:tcBorders>
          </w:tcPr>
          <w:p w14:paraId="01A5B781"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4D7D7ED8"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6277FA09"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2FC02135" w14:textId="77777777" w:rsidR="00315077" w:rsidRPr="009B5B20" w:rsidRDefault="00315077" w:rsidP="00315077">
            <w:pPr>
              <w:widowControl w:val="0"/>
              <w:autoSpaceDE w:val="0"/>
              <w:autoSpaceDN w:val="0"/>
              <w:adjustRightInd w:val="0"/>
              <w:jc w:val="center"/>
              <w:rPr>
                <w:sz w:val="20"/>
                <w:szCs w:val="20"/>
              </w:rPr>
            </w:pPr>
          </w:p>
        </w:tc>
      </w:tr>
      <w:tr w:rsidR="00315077" w:rsidRPr="009B5B20" w14:paraId="3C5BE747" w14:textId="77777777" w:rsidTr="00315077">
        <w:trPr>
          <w:jc w:val="center"/>
        </w:trPr>
        <w:tc>
          <w:tcPr>
            <w:tcW w:w="0" w:type="auto"/>
            <w:tcBorders>
              <w:top w:val="nil"/>
              <w:left w:val="nil"/>
              <w:bottom w:val="nil"/>
              <w:right w:val="nil"/>
            </w:tcBorders>
          </w:tcPr>
          <w:p w14:paraId="7C6758DB" w14:textId="77777777" w:rsidR="00315077" w:rsidRPr="009B5B20" w:rsidRDefault="00315077" w:rsidP="00315077">
            <w:pPr>
              <w:widowControl w:val="0"/>
              <w:autoSpaceDE w:val="0"/>
              <w:autoSpaceDN w:val="0"/>
              <w:adjustRightInd w:val="0"/>
              <w:rPr>
                <w:sz w:val="20"/>
                <w:szCs w:val="20"/>
              </w:rPr>
            </w:pPr>
            <w:r w:rsidRPr="009B5B20">
              <w:rPr>
                <w:sz w:val="20"/>
                <w:szCs w:val="20"/>
              </w:rPr>
              <w:t xml:space="preserve">ROA </w:t>
            </w:r>
            <w:r>
              <w:rPr>
                <w:sz w:val="20"/>
                <w:szCs w:val="20"/>
              </w:rPr>
              <w:t>(Difference)</w:t>
            </w:r>
          </w:p>
        </w:tc>
        <w:tc>
          <w:tcPr>
            <w:tcW w:w="0" w:type="auto"/>
            <w:tcBorders>
              <w:top w:val="nil"/>
              <w:left w:val="nil"/>
              <w:bottom w:val="nil"/>
              <w:right w:val="nil"/>
            </w:tcBorders>
          </w:tcPr>
          <w:p w14:paraId="23C8B130"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65423A01"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38B821B7"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-0.409</w:t>
            </w:r>
          </w:p>
        </w:tc>
        <w:tc>
          <w:tcPr>
            <w:tcW w:w="0" w:type="auto"/>
            <w:tcBorders>
              <w:top w:val="nil"/>
              <w:left w:val="nil"/>
              <w:bottom w:val="nil"/>
              <w:right w:val="nil"/>
            </w:tcBorders>
          </w:tcPr>
          <w:p w14:paraId="0AF22BCC"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-1.187***</w:t>
            </w:r>
          </w:p>
        </w:tc>
        <w:tc>
          <w:tcPr>
            <w:tcW w:w="0" w:type="auto"/>
            <w:tcBorders>
              <w:top w:val="nil"/>
              <w:left w:val="nil"/>
              <w:bottom w:val="nil"/>
              <w:right w:val="nil"/>
            </w:tcBorders>
          </w:tcPr>
          <w:p w14:paraId="0786DB13"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5B8F1096"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1A7C3C89"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-0.358</w:t>
            </w:r>
          </w:p>
        </w:tc>
        <w:tc>
          <w:tcPr>
            <w:tcW w:w="0" w:type="auto"/>
            <w:tcBorders>
              <w:top w:val="nil"/>
              <w:left w:val="nil"/>
              <w:bottom w:val="nil"/>
              <w:right w:val="nil"/>
            </w:tcBorders>
          </w:tcPr>
          <w:p w14:paraId="2B2B18C8"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-1.187***</w:t>
            </w:r>
          </w:p>
        </w:tc>
        <w:tc>
          <w:tcPr>
            <w:tcW w:w="0" w:type="auto"/>
            <w:tcBorders>
              <w:top w:val="nil"/>
              <w:left w:val="nil"/>
              <w:bottom w:val="nil"/>
              <w:right w:val="nil"/>
            </w:tcBorders>
          </w:tcPr>
          <w:p w14:paraId="2F626F4C"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6E548AC0" w14:textId="77777777" w:rsidR="00315077" w:rsidRPr="009B5B20" w:rsidRDefault="00315077" w:rsidP="00315077">
            <w:pPr>
              <w:widowControl w:val="0"/>
              <w:autoSpaceDE w:val="0"/>
              <w:autoSpaceDN w:val="0"/>
              <w:adjustRightInd w:val="0"/>
              <w:jc w:val="center"/>
              <w:rPr>
                <w:sz w:val="20"/>
                <w:szCs w:val="20"/>
              </w:rPr>
            </w:pPr>
          </w:p>
        </w:tc>
      </w:tr>
      <w:tr w:rsidR="00315077" w:rsidRPr="009B5B20" w14:paraId="1D9A1985" w14:textId="77777777" w:rsidTr="00315077">
        <w:trPr>
          <w:jc w:val="center"/>
        </w:trPr>
        <w:tc>
          <w:tcPr>
            <w:tcW w:w="0" w:type="auto"/>
            <w:tcBorders>
              <w:top w:val="nil"/>
              <w:left w:val="nil"/>
              <w:bottom w:val="nil"/>
              <w:right w:val="nil"/>
            </w:tcBorders>
          </w:tcPr>
          <w:p w14:paraId="2CC46EA1" w14:textId="77777777" w:rsidR="00315077" w:rsidRPr="009B5B20" w:rsidRDefault="00315077" w:rsidP="00315077">
            <w:pPr>
              <w:widowControl w:val="0"/>
              <w:autoSpaceDE w:val="0"/>
              <w:autoSpaceDN w:val="0"/>
              <w:adjustRightInd w:val="0"/>
              <w:rPr>
                <w:sz w:val="20"/>
                <w:szCs w:val="20"/>
              </w:rPr>
            </w:pPr>
          </w:p>
        </w:tc>
        <w:tc>
          <w:tcPr>
            <w:tcW w:w="0" w:type="auto"/>
            <w:tcBorders>
              <w:top w:val="nil"/>
              <w:left w:val="nil"/>
              <w:bottom w:val="nil"/>
              <w:right w:val="nil"/>
            </w:tcBorders>
          </w:tcPr>
          <w:p w14:paraId="06D4D62E"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2E296553"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0520E6FD"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(0.445)</w:t>
            </w:r>
          </w:p>
        </w:tc>
        <w:tc>
          <w:tcPr>
            <w:tcW w:w="0" w:type="auto"/>
            <w:tcBorders>
              <w:top w:val="nil"/>
              <w:left w:val="nil"/>
              <w:bottom w:val="nil"/>
              <w:right w:val="nil"/>
            </w:tcBorders>
          </w:tcPr>
          <w:p w14:paraId="5A4A3679"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(0.406)</w:t>
            </w:r>
          </w:p>
        </w:tc>
        <w:tc>
          <w:tcPr>
            <w:tcW w:w="0" w:type="auto"/>
            <w:tcBorders>
              <w:top w:val="nil"/>
              <w:left w:val="nil"/>
              <w:bottom w:val="nil"/>
              <w:right w:val="nil"/>
            </w:tcBorders>
          </w:tcPr>
          <w:p w14:paraId="6C18B37E"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0AAAEC6D"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5A3CCA9E"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(0.470)</w:t>
            </w:r>
          </w:p>
        </w:tc>
        <w:tc>
          <w:tcPr>
            <w:tcW w:w="0" w:type="auto"/>
            <w:tcBorders>
              <w:top w:val="nil"/>
              <w:left w:val="nil"/>
              <w:bottom w:val="nil"/>
              <w:right w:val="nil"/>
            </w:tcBorders>
          </w:tcPr>
          <w:p w14:paraId="6935F200"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(0.402)</w:t>
            </w:r>
          </w:p>
        </w:tc>
        <w:tc>
          <w:tcPr>
            <w:tcW w:w="0" w:type="auto"/>
            <w:tcBorders>
              <w:top w:val="nil"/>
              <w:left w:val="nil"/>
              <w:bottom w:val="nil"/>
              <w:right w:val="nil"/>
            </w:tcBorders>
          </w:tcPr>
          <w:p w14:paraId="5591EBB3"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5A0C1BFA" w14:textId="77777777" w:rsidR="00315077" w:rsidRPr="009B5B20" w:rsidRDefault="00315077" w:rsidP="00315077">
            <w:pPr>
              <w:widowControl w:val="0"/>
              <w:autoSpaceDE w:val="0"/>
              <w:autoSpaceDN w:val="0"/>
              <w:adjustRightInd w:val="0"/>
              <w:jc w:val="center"/>
              <w:rPr>
                <w:sz w:val="20"/>
                <w:szCs w:val="20"/>
              </w:rPr>
            </w:pPr>
          </w:p>
        </w:tc>
      </w:tr>
      <w:tr w:rsidR="00315077" w:rsidRPr="009B5B20" w14:paraId="523712B5" w14:textId="77777777" w:rsidTr="00315077">
        <w:trPr>
          <w:jc w:val="center"/>
        </w:trPr>
        <w:tc>
          <w:tcPr>
            <w:tcW w:w="0" w:type="auto"/>
            <w:tcBorders>
              <w:top w:val="nil"/>
              <w:left w:val="nil"/>
              <w:bottom w:val="nil"/>
              <w:right w:val="nil"/>
            </w:tcBorders>
          </w:tcPr>
          <w:p w14:paraId="3BD1B2AC" w14:textId="77777777" w:rsidR="00315077" w:rsidRPr="009B5B20" w:rsidRDefault="00315077" w:rsidP="00315077">
            <w:pPr>
              <w:widowControl w:val="0"/>
              <w:autoSpaceDE w:val="0"/>
              <w:autoSpaceDN w:val="0"/>
              <w:adjustRightInd w:val="0"/>
              <w:rPr>
                <w:sz w:val="20"/>
                <w:szCs w:val="20"/>
              </w:rPr>
            </w:pPr>
            <w:r w:rsidRPr="009B5B20">
              <w:rPr>
                <w:sz w:val="20"/>
                <w:szCs w:val="20"/>
              </w:rPr>
              <w:t>ROA (Difference Negative)</w:t>
            </w:r>
          </w:p>
        </w:tc>
        <w:tc>
          <w:tcPr>
            <w:tcW w:w="0" w:type="auto"/>
            <w:tcBorders>
              <w:top w:val="nil"/>
              <w:left w:val="nil"/>
              <w:bottom w:val="nil"/>
              <w:right w:val="nil"/>
            </w:tcBorders>
          </w:tcPr>
          <w:p w14:paraId="76C04287"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48C53146"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50002A90"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316DB1E0"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584DB6DD"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386D29FB"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4EF05906"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75942906"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4FF6AFF5"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0.523</w:t>
            </w:r>
          </w:p>
        </w:tc>
        <w:tc>
          <w:tcPr>
            <w:tcW w:w="0" w:type="auto"/>
            <w:tcBorders>
              <w:top w:val="nil"/>
              <w:left w:val="nil"/>
              <w:bottom w:val="nil"/>
              <w:right w:val="nil"/>
            </w:tcBorders>
          </w:tcPr>
          <w:p w14:paraId="45C92FAE"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0.371</w:t>
            </w:r>
          </w:p>
        </w:tc>
      </w:tr>
      <w:tr w:rsidR="00315077" w:rsidRPr="009B5B20" w14:paraId="751F0239" w14:textId="77777777" w:rsidTr="00315077">
        <w:trPr>
          <w:jc w:val="center"/>
        </w:trPr>
        <w:tc>
          <w:tcPr>
            <w:tcW w:w="0" w:type="auto"/>
            <w:tcBorders>
              <w:top w:val="nil"/>
              <w:left w:val="nil"/>
              <w:bottom w:val="nil"/>
              <w:right w:val="nil"/>
            </w:tcBorders>
          </w:tcPr>
          <w:p w14:paraId="25D58432" w14:textId="77777777" w:rsidR="00315077" w:rsidRPr="009B5B20" w:rsidRDefault="00315077" w:rsidP="00315077">
            <w:pPr>
              <w:widowControl w:val="0"/>
              <w:autoSpaceDE w:val="0"/>
              <w:autoSpaceDN w:val="0"/>
              <w:adjustRightInd w:val="0"/>
              <w:rPr>
                <w:sz w:val="20"/>
                <w:szCs w:val="20"/>
              </w:rPr>
            </w:pPr>
          </w:p>
        </w:tc>
        <w:tc>
          <w:tcPr>
            <w:tcW w:w="0" w:type="auto"/>
            <w:tcBorders>
              <w:top w:val="nil"/>
              <w:left w:val="nil"/>
              <w:bottom w:val="nil"/>
              <w:right w:val="nil"/>
            </w:tcBorders>
          </w:tcPr>
          <w:p w14:paraId="0B3D2EDC"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453B6658"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12D20F32"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1F9DA0BF"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7D2C7FF9"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2F366354"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548D4855"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4B1CD545"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2C2EA397"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(0.331)</w:t>
            </w:r>
          </w:p>
        </w:tc>
        <w:tc>
          <w:tcPr>
            <w:tcW w:w="0" w:type="auto"/>
            <w:tcBorders>
              <w:top w:val="nil"/>
              <w:left w:val="nil"/>
              <w:bottom w:val="nil"/>
              <w:right w:val="nil"/>
            </w:tcBorders>
          </w:tcPr>
          <w:p w14:paraId="1446A46F"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(0.398)</w:t>
            </w:r>
          </w:p>
        </w:tc>
      </w:tr>
      <w:tr w:rsidR="00315077" w:rsidRPr="009B5B20" w14:paraId="2FEF6140" w14:textId="77777777" w:rsidTr="00315077">
        <w:trPr>
          <w:jc w:val="center"/>
        </w:trPr>
        <w:tc>
          <w:tcPr>
            <w:tcW w:w="0" w:type="auto"/>
            <w:tcBorders>
              <w:top w:val="nil"/>
              <w:left w:val="nil"/>
              <w:bottom w:val="nil"/>
              <w:right w:val="nil"/>
            </w:tcBorders>
          </w:tcPr>
          <w:p w14:paraId="41A544FC" w14:textId="77777777" w:rsidR="00315077" w:rsidRPr="009B5B20" w:rsidRDefault="00315077" w:rsidP="00315077">
            <w:pPr>
              <w:widowControl w:val="0"/>
              <w:autoSpaceDE w:val="0"/>
              <w:autoSpaceDN w:val="0"/>
              <w:adjustRightInd w:val="0"/>
              <w:rPr>
                <w:sz w:val="20"/>
                <w:szCs w:val="20"/>
              </w:rPr>
            </w:pPr>
            <w:r w:rsidRPr="009B5B20">
              <w:rPr>
                <w:sz w:val="20"/>
                <w:szCs w:val="20"/>
              </w:rPr>
              <w:t>Connections (Cumulative)</w:t>
            </w:r>
          </w:p>
        </w:tc>
        <w:tc>
          <w:tcPr>
            <w:tcW w:w="0" w:type="auto"/>
            <w:tcBorders>
              <w:top w:val="nil"/>
              <w:left w:val="nil"/>
              <w:bottom w:val="nil"/>
              <w:right w:val="nil"/>
            </w:tcBorders>
          </w:tcPr>
          <w:p w14:paraId="7C54502F"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499516B5"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7794EC80"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2741E708"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2648F38D"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-0.451**</w:t>
            </w:r>
          </w:p>
        </w:tc>
        <w:tc>
          <w:tcPr>
            <w:tcW w:w="0" w:type="auto"/>
            <w:tcBorders>
              <w:top w:val="nil"/>
              <w:left w:val="nil"/>
              <w:bottom w:val="nil"/>
              <w:right w:val="nil"/>
            </w:tcBorders>
          </w:tcPr>
          <w:p w14:paraId="57B4334D"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-0.189</w:t>
            </w:r>
          </w:p>
        </w:tc>
        <w:tc>
          <w:tcPr>
            <w:tcW w:w="0" w:type="auto"/>
            <w:tcBorders>
              <w:top w:val="nil"/>
              <w:left w:val="nil"/>
              <w:bottom w:val="nil"/>
              <w:right w:val="nil"/>
            </w:tcBorders>
          </w:tcPr>
          <w:p w14:paraId="3720EAF6"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-0.417*</w:t>
            </w:r>
          </w:p>
        </w:tc>
        <w:tc>
          <w:tcPr>
            <w:tcW w:w="0" w:type="auto"/>
            <w:tcBorders>
              <w:top w:val="nil"/>
              <w:left w:val="nil"/>
              <w:bottom w:val="nil"/>
              <w:right w:val="nil"/>
            </w:tcBorders>
          </w:tcPr>
          <w:p w14:paraId="04E2BEFB"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0.0465</w:t>
            </w:r>
          </w:p>
        </w:tc>
        <w:tc>
          <w:tcPr>
            <w:tcW w:w="0" w:type="auto"/>
            <w:tcBorders>
              <w:top w:val="nil"/>
              <w:left w:val="nil"/>
              <w:bottom w:val="nil"/>
              <w:right w:val="nil"/>
            </w:tcBorders>
          </w:tcPr>
          <w:p w14:paraId="09C54DF9"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-0.439*</w:t>
            </w:r>
          </w:p>
        </w:tc>
        <w:tc>
          <w:tcPr>
            <w:tcW w:w="0" w:type="auto"/>
            <w:tcBorders>
              <w:top w:val="nil"/>
              <w:left w:val="nil"/>
              <w:bottom w:val="nil"/>
              <w:right w:val="nil"/>
            </w:tcBorders>
          </w:tcPr>
          <w:p w14:paraId="714CF211"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0.0170</w:t>
            </w:r>
          </w:p>
        </w:tc>
      </w:tr>
      <w:tr w:rsidR="00315077" w:rsidRPr="009B5B20" w14:paraId="2257B0C1" w14:textId="77777777" w:rsidTr="00315077">
        <w:trPr>
          <w:jc w:val="center"/>
        </w:trPr>
        <w:tc>
          <w:tcPr>
            <w:tcW w:w="0" w:type="auto"/>
            <w:tcBorders>
              <w:top w:val="nil"/>
              <w:left w:val="nil"/>
              <w:bottom w:val="nil"/>
              <w:right w:val="nil"/>
            </w:tcBorders>
          </w:tcPr>
          <w:p w14:paraId="0D729D75" w14:textId="77777777" w:rsidR="00315077" w:rsidRPr="009B5B20" w:rsidRDefault="00315077" w:rsidP="00315077">
            <w:pPr>
              <w:widowControl w:val="0"/>
              <w:autoSpaceDE w:val="0"/>
              <w:autoSpaceDN w:val="0"/>
              <w:adjustRightInd w:val="0"/>
              <w:rPr>
                <w:sz w:val="20"/>
                <w:szCs w:val="20"/>
              </w:rPr>
            </w:pPr>
          </w:p>
        </w:tc>
        <w:tc>
          <w:tcPr>
            <w:tcW w:w="0" w:type="auto"/>
            <w:tcBorders>
              <w:top w:val="nil"/>
              <w:left w:val="nil"/>
              <w:bottom w:val="nil"/>
              <w:right w:val="nil"/>
            </w:tcBorders>
          </w:tcPr>
          <w:p w14:paraId="010F56BE"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447F6435"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66340D09"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75E4F805"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6C0BCB47"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(0.213)</w:t>
            </w:r>
          </w:p>
        </w:tc>
        <w:tc>
          <w:tcPr>
            <w:tcW w:w="0" w:type="auto"/>
            <w:tcBorders>
              <w:top w:val="nil"/>
              <w:left w:val="nil"/>
              <w:bottom w:val="nil"/>
              <w:right w:val="nil"/>
            </w:tcBorders>
          </w:tcPr>
          <w:p w14:paraId="1B825F8D"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(0.235)</w:t>
            </w:r>
          </w:p>
        </w:tc>
        <w:tc>
          <w:tcPr>
            <w:tcW w:w="0" w:type="auto"/>
            <w:tcBorders>
              <w:top w:val="nil"/>
              <w:left w:val="nil"/>
              <w:bottom w:val="nil"/>
              <w:right w:val="nil"/>
            </w:tcBorders>
          </w:tcPr>
          <w:p w14:paraId="73986854"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(0.237)</w:t>
            </w:r>
          </w:p>
        </w:tc>
        <w:tc>
          <w:tcPr>
            <w:tcW w:w="0" w:type="auto"/>
            <w:tcBorders>
              <w:top w:val="nil"/>
              <w:left w:val="nil"/>
              <w:bottom w:val="nil"/>
              <w:right w:val="nil"/>
            </w:tcBorders>
          </w:tcPr>
          <w:p w14:paraId="38E762FD"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(0.266)</w:t>
            </w:r>
          </w:p>
        </w:tc>
        <w:tc>
          <w:tcPr>
            <w:tcW w:w="0" w:type="auto"/>
            <w:tcBorders>
              <w:top w:val="nil"/>
              <w:left w:val="nil"/>
              <w:bottom w:val="nil"/>
              <w:right w:val="nil"/>
            </w:tcBorders>
          </w:tcPr>
          <w:p w14:paraId="1FCD6325"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(0.237)</w:t>
            </w:r>
          </w:p>
        </w:tc>
        <w:tc>
          <w:tcPr>
            <w:tcW w:w="0" w:type="auto"/>
            <w:tcBorders>
              <w:top w:val="nil"/>
              <w:left w:val="nil"/>
              <w:bottom w:val="nil"/>
              <w:right w:val="nil"/>
            </w:tcBorders>
          </w:tcPr>
          <w:p w14:paraId="2561571D"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(0.264)</w:t>
            </w:r>
          </w:p>
        </w:tc>
      </w:tr>
      <w:tr w:rsidR="00315077" w:rsidRPr="009B5B20" w14:paraId="3402244B" w14:textId="77777777" w:rsidTr="00315077">
        <w:trPr>
          <w:jc w:val="center"/>
        </w:trPr>
        <w:tc>
          <w:tcPr>
            <w:tcW w:w="0" w:type="auto"/>
            <w:tcBorders>
              <w:top w:val="nil"/>
              <w:left w:val="nil"/>
              <w:bottom w:val="nil"/>
              <w:right w:val="nil"/>
            </w:tcBorders>
          </w:tcPr>
          <w:p w14:paraId="19249EF4" w14:textId="77777777" w:rsidR="00315077" w:rsidRPr="009B5B20" w:rsidRDefault="00315077" w:rsidP="00315077">
            <w:pPr>
              <w:widowControl w:val="0"/>
              <w:autoSpaceDE w:val="0"/>
              <w:autoSpaceDN w:val="0"/>
              <w:adjustRightInd w:val="0"/>
              <w:rPr>
                <w:sz w:val="20"/>
                <w:szCs w:val="20"/>
              </w:rPr>
            </w:pPr>
            <w:r w:rsidRPr="009B5B20">
              <w:rPr>
                <w:sz w:val="20"/>
                <w:szCs w:val="20"/>
              </w:rPr>
              <w:t>Experience: Central</w:t>
            </w:r>
          </w:p>
        </w:tc>
        <w:tc>
          <w:tcPr>
            <w:tcW w:w="0" w:type="auto"/>
            <w:tcBorders>
              <w:top w:val="nil"/>
              <w:left w:val="nil"/>
              <w:bottom w:val="nil"/>
              <w:right w:val="nil"/>
            </w:tcBorders>
          </w:tcPr>
          <w:p w14:paraId="2CF2AB04"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0.0154</w:t>
            </w:r>
          </w:p>
        </w:tc>
        <w:tc>
          <w:tcPr>
            <w:tcW w:w="0" w:type="auto"/>
            <w:tcBorders>
              <w:top w:val="nil"/>
              <w:left w:val="nil"/>
              <w:bottom w:val="nil"/>
              <w:right w:val="nil"/>
            </w:tcBorders>
          </w:tcPr>
          <w:p w14:paraId="74979104"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0.532</w:t>
            </w:r>
          </w:p>
        </w:tc>
        <w:tc>
          <w:tcPr>
            <w:tcW w:w="0" w:type="auto"/>
            <w:tcBorders>
              <w:top w:val="nil"/>
              <w:left w:val="nil"/>
              <w:bottom w:val="nil"/>
              <w:right w:val="nil"/>
            </w:tcBorders>
          </w:tcPr>
          <w:p w14:paraId="75A33B1D"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-0.461</w:t>
            </w:r>
          </w:p>
        </w:tc>
        <w:tc>
          <w:tcPr>
            <w:tcW w:w="0" w:type="auto"/>
            <w:tcBorders>
              <w:top w:val="nil"/>
              <w:left w:val="nil"/>
              <w:bottom w:val="nil"/>
              <w:right w:val="nil"/>
            </w:tcBorders>
          </w:tcPr>
          <w:p w14:paraId="121FC0B3"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0.630</w:t>
            </w:r>
          </w:p>
        </w:tc>
        <w:tc>
          <w:tcPr>
            <w:tcW w:w="0" w:type="auto"/>
            <w:tcBorders>
              <w:top w:val="nil"/>
              <w:left w:val="nil"/>
              <w:bottom w:val="nil"/>
              <w:right w:val="nil"/>
            </w:tcBorders>
          </w:tcPr>
          <w:p w14:paraId="67303B90"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0.126</w:t>
            </w:r>
          </w:p>
        </w:tc>
        <w:tc>
          <w:tcPr>
            <w:tcW w:w="0" w:type="auto"/>
            <w:tcBorders>
              <w:top w:val="nil"/>
              <w:left w:val="nil"/>
              <w:bottom w:val="nil"/>
              <w:right w:val="nil"/>
            </w:tcBorders>
          </w:tcPr>
          <w:p w14:paraId="4069E76B"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0.541</w:t>
            </w:r>
          </w:p>
        </w:tc>
        <w:tc>
          <w:tcPr>
            <w:tcW w:w="0" w:type="auto"/>
            <w:tcBorders>
              <w:top w:val="nil"/>
              <w:left w:val="nil"/>
              <w:bottom w:val="nil"/>
              <w:right w:val="nil"/>
            </w:tcBorders>
          </w:tcPr>
          <w:p w14:paraId="39DFC11F"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-0.378</w:t>
            </w:r>
          </w:p>
        </w:tc>
        <w:tc>
          <w:tcPr>
            <w:tcW w:w="0" w:type="auto"/>
            <w:tcBorders>
              <w:top w:val="nil"/>
              <w:left w:val="nil"/>
              <w:bottom w:val="nil"/>
              <w:right w:val="nil"/>
            </w:tcBorders>
          </w:tcPr>
          <w:p w14:paraId="5800A684"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0.618</w:t>
            </w:r>
          </w:p>
        </w:tc>
        <w:tc>
          <w:tcPr>
            <w:tcW w:w="0" w:type="auto"/>
            <w:tcBorders>
              <w:top w:val="nil"/>
              <w:left w:val="nil"/>
              <w:bottom w:val="nil"/>
              <w:right w:val="nil"/>
            </w:tcBorders>
          </w:tcPr>
          <w:p w14:paraId="2C00F124"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-0.339</w:t>
            </w:r>
          </w:p>
        </w:tc>
        <w:tc>
          <w:tcPr>
            <w:tcW w:w="0" w:type="auto"/>
            <w:tcBorders>
              <w:top w:val="nil"/>
              <w:left w:val="nil"/>
              <w:bottom w:val="nil"/>
              <w:right w:val="nil"/>
            </w:tcBorders>
          </w:tcPr>
          <w:p w14:paraId="3B2FCE17"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0.540</w:t>
            </w:r>
          </w:p>
        </w:tc>
      </w:tr>
      <w:tr w:rsidR="00315077" w:rsidRPr="009B5B20" w14:paraId="4F6B6C8E" w14:textId="77777777" w:rsidTr="00315077">
        <w:trPr>
          <w:jc w:val="center"/>
        </w:trPr>
        <w:tc>
          <w:tcPr>
            <w:tcW w:w="0" w:type="auto"/>
            <w:tcBorders>
              <w:top w:val="nil"/>
              <w:left w:val="nil"/>
              <w:bottom w:val="nil"/>
              <w:right w:val="nil"/>
            </w:tcBorders>
          </w:tcPr>
          <w:p w14:paraId="51372637" w14:textId="77777777" w:rsidR="00315077" w:rsidRPr="009B5B20" w:rsidRDefault="00315077" w:rsidP="00315077">
            <w:pPr>
              <w:widowControl w:val="0"/>
              <w:autoSpaceDE w:val="0"/>
              <w:autoSpaceDN w:val="0"/>
              <w:adjustRightInd w:val="0"/>
              <w:rPr>
                <w:sz w:val="20"/>
                <w:szCs w:val="20"/>
              </w:rPr>
            </w:pPr>
          </w:p>
        </w:tc>
        <w:tc>
          <w:tcPr>
            <w:tcW w:w="0" w:type="auto"/>
            <w:tcBorders>
              <w:top w:val="nil"/>
              <w:left w:val="nil"/>
              <w:bottom w:val="nil"/>
              <w:right w:val="nil"/>
            </w:tcBorders>
          </w:tcPr>
          <w:p w14:paraId="4BC1E512"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(0.476)</w:t>
            </w:r>
          </w:p>
        </w:tc>
        <w:tc>
          <w:tcPr>
            <w:tcW w:w="0" w:type="auto"/>
            <w:tcBorders>
              <w:top w:val="nil"/>
              <w:left w:val="nil"/>
              <w:bottom w:val="nil"/>
              <w:right w:val="nil"/>
            </w:tcBorders>
          </w:tcPr>
          <w:p w14:paraId="687DBC41"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(0.583)</w:t>
            </w:r>
          </w:p>
        </w:tc>
        <w:tc>
          <w:tcPr>
            <w:tcW w:w="0" w:type="auto"/>
            <w:tcBorders>
              <w:top w:val="nil"/>
              <w:left w:val="nil"/>
              <w:bottom w:val="nil"/>
              <w:right w:val="nil"/>
            </w:tcBorders>
          </w:tcPr>
          <w:p w14:paraId="3AABE5DA"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(0.564)</w:t>
            </w:r>
          </w:p>
        </w:tc>
        <w:tc>
          <w:tcPr>
            <w:tcW w:w="0" w:type="auto"/>
            <w:tcBorders>
              <w:top w:val="nil"/>
              <w:left w:val="nil"/>
              <w:bottom w:val="nil"/>
              <w:right w:val="nil"/>
            </w:tcBorders>
          </w:tcPr>
          <w:p w14:paraId="6F9DA6AC"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(0.657)</w:t>
            </w:r>
          </w:p>
        </w:tc>
        <w:tc>
          <w:tcPr>
            <w:tcW w:w="0" w:type="auto"/>
            <w:tcBorders>
              <w:top w:val="nil"/>
              <w:left w:val="nil"/>
              <w:bottom w:val="nil"/>
              <w:right w:val="nil"/>
            </w:tcBorders>
          </w:tcPr>
          <w:p w14:paraId="0E100375"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(0.493)</w:t>
            </w:r>
          </w:p>
        </w:tc>
        <w:tc>
          <w:tcPr>
            <w:tcW w:w="0" w:type="auto"/>
            <w:tcBorders>
              <w:top w:val="nil"/>
              <w:left w:val="nil"/>
              <w:bottom w:val="nil"/>
              <w:right w:val="nil"/>
            </w:tcBorders>
          </w:tcPr>
          <w:p w14:paraId="1761536F"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(0.579)</w:t>
            </w:r>
          </w:p>
        </w:tc>
        <w:tc>
          <w:tcPr>
            <w:tcW w:w="0" w:type="auto"/>
            <w:tcBorders>
              <w:top w:val="nil"/>
              <w:left w:val="nil"/>
              <w:bottom w:val="nil"/>
              <w:right w:val="nil"/>
            </w:tcBorders>
          </w:tcPr>
          <w:p w14:paraId="0BCA7815"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(0.571)</w:t>
            </w:r>
          </w:p>
        </w:tc>
        <w:tc>
          <w:tcPr>
            <w:tcW w:w="0" w:type="auto"/>
            <w:tcBorders>
              <w:top w:val="nil"/>
              <w:left w:val="nil"/>
              <w:bottom w:val="nil"/>
              <w:right w:val="nil"/>
            </w:tcBorders>
          </w:tcPr>
          <w:p w14:paraId="716D7E4A"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(0.665)</w:t>
            </w:r>
          </w:p>
        </w:tc>
        <w:tc>
          <w:tcPr>
            <w:tcW w:w="0" w:type="auto"/>
            <w:tcBorders>
              <w:top w:val="nil"/>
              <w:left w:val="nil"/>
              <w:bottom w:val="nil"/>
              <w:right w:val="nil"/>
            </w:tcBorders>
          </w:tcPr>
          <w:p w14:paraId="1092D3B9"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(0.569)</w:t>
            </w:r>
          </w:p>
        </w:tc>
        <w:tc>
          <w:tcPr>
            <w:tcW w:w="0" w:type="auto"/>
            <w:tcBorders>
              <w:top w:val="nil"/>
              <w:left w:val="nil"/>
              <w:bottom w:val="nil"/>
              <w:right w:val="nil"/>
            </w:tcBorders>
          </w:tcPr>
          <w:p w14:paraId="6BD116FA"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(0.648)</w:t>
            </w:r>
          </w:p>
        </w:tc>
      </w:tr>
      <w:tr w:rsidR="00315077" w:rsidRPr="009B5B20" w14:paraId="41940DD8" w14:textId="77777777" w:rsidTr="00315077">
        <w:trPr>
          <w:jc w:val="center"/>
        </w:trPr>
        <w:tc>
          <w:tcPr>
            <w:tcW w:w="0" w:type="auto"/>
            <w:tcBorders>
              <w:top w:val="nil"/>
              <w:left w:val="nil"/>
              <w:bottom w:val="nil"/>
              <w:right w:val="nil"/>
            </w:tcBorders>
          </w:tcPr>
          <w:p w14:paraId="6730679D" w14:textId="77777777" w:rsidR="00315077" w:rsidRPr="009B5B20" w:rsidRDefault="00315077" w:rsidP="00315077">
            <w:pPr>
              <w:widowControl w:val="0"/>
              <w:autoSpaceDE w:val="0"/>
              <w:autoSpaceDN w:val="0"/>
              <w:adjustRightInd w:val="0"/>
              <w:rPr>
                <w:sz w:val="20"/>
                <w:szCs w:val="20"/>
              </w:rPr>
            </w:pPr>
            <w:r w:rsidRPr="009B5B20">
              <w:rPr>
                <w:sz w:val="20"/>
                <w:szCs w:val="20"/>
              </w:rPr>
              <w:t>Experience: Local</w:t>
            </w:r>
          </w:p>
        </w:tc>
        <w:tc>
          <w:tcPr>
            <w:tcW w:w="0" w:type="auto"/>
            <w:tcBorders>
              <w:top w:val="nil"/>
              <w:left w:val="nil"/>
              <w:bottom w:val="nil"/>
              <w:right w:val="nil"/>
            </w:tcBorders>
          </w:tcPr>
          <w:p w14:paraId="4703DEAE"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0.0141</w:t>
            </w:r>
          </w:p>
        </w:tc>
        <w:tc>
          <w:tcPr>
            <w:tcW w:w="0" w:type="auto"/>
            <w:tcBorders>
              <w:top w:val="nil"/>
              <w:left w:val="nil"/>
              <w:bottom w:val="nil"/>
              <w:right w:val="nil"/>
            </w:tcBorders>
          </w:tcPr>
          <w:p w14:paraId="7A82A195"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1.474***</w:t>
            </w:r>
          </w:p>
        </w:tc>
        <w:tc>
          <w:tcPr>
            <w:tcW w:w="0" w:type="auto"/>
            <w:tcBorders>
              <w:top w:val="nil"/>
              <w:left w:val="nil"/>
              <w:bottom w:val="nil"/>
              <w:right w:val="nil"/>
            </w:tcBorders>
          </w:tcPr>
          <w:p w14:paraId="007DD24F"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0.169</w:t>
            </w:r>
          </w:p>
        </w:tc>
        <w:tc>
          <w:tcPr>
            <w:tcW w:w="0" w:type="auto"/>
            <w:tcBorders>
              <w:top w:val="nil"/>
              <w:left w:val="nil"/>
              <w:bottom w:val="nil"/>
              <w:right w:val="nil"/>
            </w:tcBorders>
          </w:tcPr>
          <w:p w14:paraId="75F9D9DE"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1.472**</w:t>
            </w:r>
          </w:p>
        </w:tc>
        <w:tc>
          <w:tcPr>
            <w:tcW w:w="0" w:type="auto"/>
            <w:tcBorders>
              <w:top w:val="nil"/>
              <w:left w:val="nil"/>
              <w:bottom w:val="nil"/>
              <w:right w:val="nil"/>
            </w:tcBorders>
          </w:tcPr>
          <w:p w14:paraId="0D280A32"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0.191</w:t>
            </w:r>
          </w:p>
        </w:tc>
        <w:tc>
          <w:tcPr>
            <w:tcW w:w="0" w:type="auto"/>
            <w:tcBorders>
              <w:top w:val="nil"/>
              <w:left w:val="nil"/>
              <w:bottom w:val="nil"/>
              <w:right w:val="nil"/>
            </w:tcBorders>
          </w:tcPr>
          <w:p w14:paraId="541BD86F"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1.476***</w:t>
            </w:r>
          </w:p>
        </w:tc>
        <w:tc>
          <w:tcPr>
            <w:tcW w:w="0" w:type="auto"/>
            <w:tcBorders>
              <w:top w:val="nil"/>
              <w:left w:val="nil"/>
              <w:bottom w:val="nil"/>
              <w:right w:val="nil"/>
            </w:tcBorders>
          </w:tcPr>
          <w:p w14:paraId="4B4B03F9"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0.311</w:t>
            </w:r>
          </w:p>
        </w:tc>
        <w:tc>
          <w:tcPr>
            <w:tcW w:w="0" w:type="auto"/>
            <w:tcBorders>
              <w:top w:val="nil"/>
              <w:left w:val="nil"/>
              <w:bottom w:val="nil"/>
              <w:right w:val="nil"/>
            </w:tcBorders>
          </w:tcPr>
          <w:p w14:paraId="17E445A5"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1.471**</w:t>
            </w:r>
          </w:p>
        </w:tc>
        <w:tc>
          <w:tcPr>
            <w:tcW w:w="0" w:type="auto"/>
            <w:tcBorders>
              <w:top w:val="nil"/>
              <w:left w:val="nil"/>
              <w:bottom w:val="nil"/>
              <w:right w:val="nil"/>
            </w:tcBorders>
          </w:tcPr>
          <w:p w14:paraId="2B508AC8"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0.310</w:t>
            </w:r>
          </w:p>
        </w:tc>
        <w:tc>
          <w:tcPr>
            <w:tcW w:w="0" w:type="auto"/>
            <w:tcBorders>
              <w:top w:val="nil"/>
              <w:left w:val="nil"/>
              <w:bottom w:val="nil"/>
              <w:right w:val="nil"/>
            </w:tcBorders>
          </w:tcPr>
          <w:p w14:paraId="4BE8EB34"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1.385**</w:t>
            </w:r>
          </w:p>
        </w:tc>
      </w:tr>
      <w:tr w:rsidR="00315077" w:rsidRPr="009B5B20" w14:paraId="42EE50E6" w14:textId="77777777" w:rsidTr="00315077">
        <w:trPr>
          <w:jc w:val="center"/>
        </w:trPr>
        <w:tc>
          <w:tcPr>
            <w:tcW w:w="0" w:type="auto"/>
            <w:tcBorders>
              <w:top w:val="nil"/>
              <w:left w:val="nil"/>
              <w:bottom w:val="nil"/>
              <w:right w:val="nil"/>
            </w:tcBorders>
          </w:tcPr>
          <w:p w14:paraId="67E3FD25" w14:textId="77777777" w:rsidR="00315077" w:rsidRPr="009B5B20" w:rsidRDefault="00315077" w:rsidP="00315077">
            <w:pPr>
              <w:widowControl w:val="0"/>
              <w:autoSpaceDE w:val="0"/>
              <w:autoSpaceDN w:val="0"/>
              <w:adjustRightInd w:val="0"/>
              <w:rPr>
                <w:sz w:val="20"/>
                <w:szCs w:val="20"/>
              </w:rPr>
            </w:pPr>
          </w:p>
        </w:tc>
        <w:tc>
          <w:tcPr>
            <w:tcW w:w="0" w:type="auto"/>
            <w:tcBorders>
              <w:top w:val="nil"/>
              <w:left w:val="nil"/>
              <w:bottom w:val="nil"/>
              <w:right w:val="nil"/>
            </w:tcBorders>
          </w:tcPr>
          <w:p w14:paraId="307360F0"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(0.371)</w:t>
            </w:r>
          </w:p>
        </w:tc>
        <w:tc>
          <w:tcPr>
            <w:tcW w:w="0" w:type="auto"/>
            <w:tcBorders>
              <w:top w:val="nil"/>
              <w:left w:val="nil"/>
              <w:bottom w:val="nil"/>
              <w:right w:val="nil"/>
            </w:tcBorders>
          </w:tcPr>
          <w:p w14:paraId="555AB1A0"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(0.516)</w:t>
            </w:r>
          </w:p>
        </w:tc>
        <w:tc>
          <w:tcPr>
            <w:tcW w:w="0" w:type="auto"/>
            <w:tcBorders>
              <w:top w:val="nil"/>
              <w:left w:val="nil"/>
              <w:bottom w:val="nil"/>
              <w:right w:val="nil"/>
            </w:tcBorders>
          </w:tcPr>
          <w:p w14:paraId="135D2A2F"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(0.438)</w:t>
            </w:r>
          </w:p>
        </w:tc>
        <w:tc>
          <w:tcPr>
            <w:tcW w:w="0" w:type="auto"/>
            <w:tcBorders>
              <w:top w:val="nil"/>
              <w:left w:val="nil"/>
              <w:bottom w:val="nil"/>
              <w:right w:val="nil"/>
            </w:tcBorders>
          </w:tcPr>
          <w:p w14:paraId="7828057E"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(0.585)</w:t>
            </w:r>
          </w:p>
        </w:tc>
        <w:tc>
          <w:tcPr>
            <w:tcW w:w="0" w:type="auto"/>
            <w:tcBorders>
              <w:top w:val="nil"/>
              <w:left w:val="nil"/>
              <w:bottom w:val="nil"/>
              <w:right w:val="nil"/>
            </w:tcBorders>
          </w:tcPr>
          <w:p w14:paraId="3267AA5C"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(0.402)</w:t>
            </w:r>
          </w:p>
        </w:tc>
        <w:tc>
          <w:tcPr>
            <w:tcW w:w="0" w:type="auto"/>
            <w:tcBorders>
              <w:top w:val="nil"/>
              <w:left w:val="nil"/>
              <w:bottom w:val="nil"/>
              <w:right w:val="nil"/>
            </w:tcBorders>
          </w:tcPr>
          <w:p w14:paraId="4DFF615D"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(0.520)</w:t>
            </w:r>
          </w:p>
        </w:tc>
        <w:tc>
          <w:tcPr>
            <w:tcW w:w="0" w:type="auto"/>
            <w:tcBorders>
              <w:top w:val="nil"/>
              <w:left w:val="nil"/>
              <w:bottom w:val="nil"/>
              <w:right w:val="nil"/>
            </w:tcBorders>
          </w:tcPr>
          <w:p w14:paraId="594713BC"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(0.469)</w:t>
            </w:r>
          </w:p>
        </w:tc>
        <w:tc>
          <w:tcPr>
            <w:tcW w:w="0" w:type="auto"/>
            <w:tcBorders>
              <w:top w:val="nil"/>
              <w:left w:val="nil"/>
              <w:bottom w:val="nil"/>
              <w:right w:val="nil"/>
            </w:tcBorders>
          </w:tcPr>
          <w:p w14:paraId="16CD032B"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(0.590)</w:t>
            </w:r>
          </w:p>
        </w:tc>
        <w:tc>
          <w:tcPr>
            <w:tcW w:w="0" w:type="auto"/>
            <w:tcBorders>
              <w:top w:val="nil"/>
              <w:left w:val="nil"/>
              <w:bottom w:val="nil"/>
              <w:right w:val="nil"/>
            </w:tcBorders>
          </w:tcPr>
          <w:p w14:paraId="51FF435D"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(0.472)</w:t>
            </w:r>
          </w:p>
        </w:tc>
        <w:tc>
          <w:tcPr>
            <w:tcW w:w="0" w:type="auto"/>
            <w:tcBorders>
              <w:top w:val="nil"/>
              <w:left w:val="nil"/>
              <w:bottom w:val="nil"/>
              <w:right w:val="nil"/>
            </w:tcBorders>
          </w:tcPr>
          <w:p w14:paraId="48C83036"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(0.583)</w:t>
            </w:r>
          </w:p>
        </w:tc>
      </w:tr>
      <w:tr w:rsidR="00315077" w:rsidRPr="009B5B20" w14:paraId="000C6D66" w14:textId="77777777" w:rsidTr="00315077">
        <w:trPr>
          <w:jc w:val="center"/>
        </w:trPr>
        <w:tc>
          <w:tcPr>
            <w:tcW w:w="0" w:type="auto"/>
            <w:tcBorders>
              <w:top w:val="nil"/>
              <w:left w:val="nil"/>
              <w:bottom w:val="nil"/>
              <w:right w:val="nil"/>
            </w:tcBorders>
          </w:tcPr>
          <w:p w14:paraId="4BA253C2" w14:textId="77777777" w:rsidR="00315077" w:rsidRPr="009B5B20" w:rsidRDefault="00315077" w:rsidP="00315077">
            <w:pPr>
              <w:widowControl w:val="0"/>
              <w:autoSpaceDE w:val="0"/>
              <w:autoSpaceDN w:val="0"/>
              <w:adjustRightInd w:val="0"/>
              <w:rPr>
                <w:sz w:val="20"/>
                <w:szCs w:val="20"/>
              </w:rPr>
            </w:pPr>
            <w:r w:rsidRPr="009B5B20">
              <w:rPr>
                <w:sz w:val="20"/>
                <w:szCs w:val="20"/>
              </w:rPr>
              <w:t>Leadership Years</w:t>
            </w:r>
          </w:p>
        </w:tc>
        <w:tc>
          <w:tcPr>
            <w:tcW w:w="0" w:type="auto"/>
            <w:tcBorders>
              <w:top w:val="nil"/>
              <w:left w:val="nil"/>
              <w:bottom w:val="nil"/>
              <w:right w:val="nil"/>
            </w:tcBorders>
          </w:tcPr>
          <w:p w14:paraId="2D7408E7"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0.101**</w:t>
            </w:r>
          </w:p>
        </w:tc>
        <w:tc>
          <w:tcPr>
            <w:tcW w:w="0" w:type="auto"/>
            <w:tcBorders>
              <w:top w:val="nil"/>
              <w:left w:val="nil"/>
              <w:bottom w:val="nil"/>
              <w:right w:val="nil"/>
            </w:tcBorders>
          </w:tcPr>
          <w:p w14:paraId="57864E13"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0.292***</w:t>
            </w:r>
          </w:p>
        </w:tc>
        <w:tc>
          <w:tcPr>
            <w:tcW w:w="0" w:type="auto"/>
            <w:tcBorders>
              <w:top w:val="nil"/>
              <w:left w:val="nil"/>
              <w:bottom w:val="nil"/>
              <w:right w:val="nil"/>
            </w:tcBorders>
          </w:tcPr>
          <w:p w14:paraId="566E05AB"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0.0784</w:t>
            </w:r>
          </w:p>
        </w:tc>
        <w:tc>
          <w:tcPr>
            <w:tcW w:w="0" w:type="auto"/>
            <w:tcBorders>
              <w:top w:val="nil"/>
              <w:left w:val="nil"/>
              <w:bottom w:val="nil"/>
              <w:right w:val="nil"/>
            </w:tcBorders>
          </w:tcPr>
          <w:p w14:paraId="55DC57FF"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0.266***</w:t>
            </w:r>
          </w:p>
        </w:tc>
        <w:tc>
          <w:tcPr>
            <w:tcW w:w="0" w:type="auto"/>
            <w:tcBorders>
              <w:top w:val="nil"/>
              <w:left w:val="nil"/>
              <w:bottom w:val="nil"/>
              <w:right w:val="nil"/>
            </w:tcBorders>
          </w:tcPr>
          <w:p w14:paraId="0128BA8A"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0.0412</w:t>
            </w:r>
          </w:p>
        </w:tc>
        <w:tc>
          <w:tcPr>
            <w:tcW w:w="0" w:type="auto"/>
            <w:tcBorders>
              <w:top w:val="nil"/>
              <w:left w:val="nil"/>
              <w:bottom w:val="nil"/>
              <w:right w:val="nil"/>
            </w:tcBorders>
          </w:tcPr>
          <w:p w14:paraId="1288FF00"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0.243***</w:t>
            </w:r>
          </w:p>
        </w:tc>
        <w:tc>
          <w:tcPr>
            <w:tcW w:w="0" w:type="auto"/>
            <w:tcBorders>
              <w:top w:val="nil"/>
              <w:left w:val="nil"/>
              <w:bottom w:val="nil"/>
              <w:right w:val="nil"/>
            </w:tcBorders>
          </w:tcPr>
          <w:p w14:paraId="2CAB65B0"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0.0274</w:t>
            </w:r>
          </w:p>
        </w:tc>
        <w:tc>
          <w:tcPr>
            <w:tcW w:w="0" w:type="auto"/>
            <w:tcBorders>
              <w:top w:val="nil"/>
              <w:left w:val="nil"/>
              <w:bottom w:val="nil"/>
              <w:right w:val="nil"/>
            </w:tcBorders>
          </w:tcPr>
          <w:p w14:paraId="4668E93E"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0.277***</w:t>
            </w:r>
          </w:p>
        </w:tc>
        <w:tc>
          <w:tcPr>
            <w:tcW w:w="0" w:type="auto"/>
            <w:tcBorders>
              <w:top w:val="nil"/>
              <w:left w:val="nil"/>
              <w:bottom w:val="nil"/>
              <w:right w:val="nil"/>
            </w:tcBorders>
          </w:tcPr>
          <w:p w14:paraId="41C8B89E"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0.0241</w:t>
            </w:r>
          </w:p>
        </w:tc>
        <w:tc>
          <w:tcPr>
            <w:tcW w:w="0" w:type="auto"/>
            <w:tcBorders>
              <w:top w:val="nil"/>
              <w:left w:val="nil"/>
              <w:bottom w:val="nil"/>
              <w:right w:val="nil"/>
            </w:tcBorders>
          </w:tcPr>
          <w:p w14:paraId="4C5F5353"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0.260**</w:t>
            </w:r>
          </w:p>
        </w:tc>
      </w:tr>
      <w:tr w:rsidR="00315077" w:rsidRPr="009B5B20" w14:paraId="4C0B6AF5" w14:textId="77777777" w:rsidTr="00315077">
        <w:trPr>
          <w:jc w:val="center"/>
        </w:trPr>
        <w:tc>
          <w:tcPr>
            <w:tcW w:w="0" w:type="auto"/>
            <w:tcBorders>
              <w:top w:val="nil"/>
              <w:left w:val="nil"/>
              <w:bottom w:val="nil"/>
              <w:right w:val="nil"/>
            </w:tcBorders>
          </w:tcPr>
          <w:p w14:paraId="77CD9826" w14:textId="77777777" w:rsidR="00315077" w:rsidRPr="009B5B20" w:rsidRDefault="00315077" w:rsidP="00315077">
            <w:pPr>
              <w:widowControl w:val="0"/>
              <w:autoSpaceDE w:val="0"/>
              <w:autoSpaceDN w:val="0"/>
              <w:adjustRightInd w:val="0"/>
              <w:rPr>
                <w:sz w:val="20"/>
                <w:szCs w:val="20"/>
              </w:rPr>
            </w:pPr>
          </w:p>
        </w:tc>
        <w:tc>
          <w:tcPr>
            <w:tcW w:w="0" w:type="auto"/>
            <w:tcBorders>
              <w:top w:val="nil"/>
              <w:left w:val="nil"/>
              <w:bottom w:val="nil"/>
              <w:right w:val="nil"/>
            </w:tcBorders>
          </w:tcPr>
          <w:p w14:paraId="2552EF8E"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(0.0475)</w:t>
            </w:r>
          </w:p>
        </w:tc>
        <w:tc>
          <w:tcPr>
            <w:tcW w:w="0" w:type="auto"/>
            <w:tcBorders>
              <w:top w:val="nil"/>
              <w:left w:val="nil"/>
              <w:bottom w:val="nil"/>
              <w:right w:val="nil"/>
            </w:tcBorders>
          </w:tcPr>
          <w:p w14:paraId="79BCE489"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(0.0772)</w:t>
            </w:r>
          </w:p>
        </w:tc>
        <w:tc>
          <w:tcPr>
            <w:tcW w:w="0" w:type="auto"/>
            <w:tcBorders>
              <w:top w:val="nil"/>
              <w:left w:val="nil"/>
              <w:bottom w:val="nil"/>
              <w:right w:val="nil"/>
            </w:tcBorders>
          </w:tcPr>
          <w:p w14:paraId="5E9866AF"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(0.0508)</w:t>
            </w:r>
          </w:p>
        </w:tc>
        <w:tc>
          <w:tcPr>
            <w:tcW w:w="0" w:type="auto"/>
            <w:tcBorders>
              <w:top w:val="nil"/>
              <w:left w:val="nil"/>
              <w:bottom w:val="nil"/>
              <w:right w:val="nil"/>
            </w:tcBorders>
          </w:tcPr>
          <w:p w14:paraId="17A83ECA"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(0.0927)</w:t>
            </w:r>
          </w:p>
        </w:tc>
        <w:tc>
          <w:tcPr>
            <w:tcW w:w="0" w:type="auto"/>
            <w:tcBorders>
              <w:top w:val="nil"/>
              <w:left w:val="nil"/>
              <w:bottom w:val="nil"/>
              <w:right w:val="nil"/>
            </w:tcBorders>
          </w:tcPr>
          <w:p w14:paraId="2C7D7E7C"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(0.0503)</w:t>
            </w:r>
          </w:p>
        </w:tc>
        <w:tc>
          <w:tcPr>
            <w:tcW w:w="0" w:type="auto"/>
            <w:tcBorders>
              <w:top w:val="nil"/>
              <w:left w:val="nil"/>
              <w:bottom w:val="nil"/>
              <w:right w:val="nil"/>
            </w:tcBorders>
          </w:tcPr>
          <w:p w14:paraId="656A303D"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(0.0885)</w:t>
            </w:r>
          </w:p>
        </w:tc>
        <w:tc>
          <w:tcPr>
            <w:tcW w:w="0" w:type="auto"/>
            <w:tcBorders>
              <w:top w:val="nil"/>
              <w:left w:val="nil"/>
              <w:bottom w:val="nil"/>
              <w:right w:val="nil"/>
            </w:tcBorders>
          </w:tcPr>
          <w:p w14:paraId="35C98228"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(0.0592)</w:t>
            </w:r>
          </w:p>
        </w:tc>
        <w:tc>
          <w:tcPr>
            <w:tcW w:w="0" w:type="auto"/>
            <w:tcBorders>
              <w:top w:val="nil"/>
              <w:left w:val="nil"/>
              <w:bottom w:val="nil"/>
              <w:right w:val="nil"/>
            </w:tcBorders>
          </w:tcPr>
          <w:p w14:paraId="0E9304E3"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(0.104)</w:t>
            </w:r>
          </w:p>
        </w:tc>
        <w:tc>
          <w:tcPr>
            <w:tcW w:w="0" w:type="auto"/>
            <w:tcBorders>
              <w:top w:val="nil"/>
              <w:left w:val="nil"/>
              <w:bottom w:val="nil"/>
              <w:right w:val="nil"/>
            </w:tcBorders>
          </w:tcPr>
          <w:p w14:paraId="392F2F77"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(0.0598)</w:t>
            </w:r>
          </w:p>
        </w:tc>
        <w:tc>
          <w:tcPr>
            <w:tcW w:w="0" w:type="auto"/>
            <w:tcBorders>
              <w:top w:val="nil"/>
              <w:left w:val="nil"/>
              <w:bottom w:val="nil"/>
              <w:right w:val="nil"/>
            </w:tcBorders>
          </w:tcPr>
          <w:p w14:paraId="623CA824"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(0.108)</w:t>
            </w:r>
          </w:p>
        </w:tc>
      </w:tr>
      <w:tr w:rsidR="00315077" w:rsidRPr="009B5B20" w14:paraId="739A16E6" w14:textId="77777777" w:rsidTr="00315077">
        <w:trPr>
          <w:jc w:val="center"/>
        </w:trPr>
        <w:tc>
          <w:tcPr>
            <w:tcW w:w="0" w:type="auto"/>
            <w:tcBorders>
              <w:top w:val="nil"/>
              <w:left w:val="nil"/>
              <w:bottom w:val="nil"/>
              <w:right w:val="nil"/>
            </w:tcBorders>
          </w:tcPr>
          <w:p w14:paraId="6D1318D6" w14:textId="77777777" w:rsidR="00315077" w:rsidRPr="009B5B20" w:rsidRDefault="00315077" w:rsidP="00315077">
            <w:pPr>
              <w:widowControl w:val="0"/>
              <w:autoSpaceDE w:val="0"/>
              <w:autoSpaceDN w:val="0"/>
              <w:adjustRightInd w:val="0"/>
              <w:rPr>
                <w:sz w:val="20"/>
                <w:szCs w:val="20"/>
              </w:rPr>
            </w:pPr>
            <w:r w:rsidRPr="009B5B20">
              <w:rPr>
                <w:sz w:val="20"/>
                <w:szCs w:val="20"/>
              </w:rPr>
              <w:t>Party School</w:t>
            </w:r>
          </w:p>
        </w:tc>
        <w:tc>
          <w:tcPr>
            <w:tcW w:w="0" w:type="auto"/>
            <w:tcBorders>
              <w:top w:val="nil"/>
              <w:left w:val="nil"/>
              <w:bottom w:val="nil"/>
              <w:right w:val="nil"/>
            </w:tcBorders>
          </w:tcPr>
          <w:p w14:paraId="10ACAFCC"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-2.359</w:t>
            </w:r>
          </w:p>
        </w:tc>
        <w:tc>
          <w:tcPr>
            <w:tcW w:w="0" w:type="auto"/>
            <w:tcBorders>
              <w:top w:val="nil"/>
              <w:left w:val="nil"/>
              <w:bottom w:val="nil"/>
              <w:right w:val="nil"/>
            </w:tcBorders>
          </w:tcPr>
          <w:p w14:paraId="4BE0E7DF"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0.892</w:t>
            </w:r>
          </w:p>
        </w:tc>
        <w:tc>
          <w:tcPr>
            <w:tcW w:w="0" w:type="auto"/>
            <w:tcBorders>
              <w:top w:val="nil"/>
              <w:left w:val="nil"/>
              <w:bottom w:val="nil"/>
              <w:right w:val="nil"/>
            </w:tcBorders>
          </w:tcPr>
          <w:p w14:paraId="0E2C29C9"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-2.385</w:t>
            </w:r>
          </w:p>
        </w:tc>
        <w:tc>
          <w:tcPr>
            <w:tcW w:w="0" w:type="auto"/>
            <w:tcBorders>
              <w:top w:val="nil"/>
              <w:left w:val="nil"/>
              <w:bottom w:val="nil"/>
              <w:right w:val="nil"/>
            </w:tcBorders>
          </w:tcPr>
          <w:p w14:paraId="4F4BBA58"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0.749</w:t>
            </w:r>
          </w:p>
        </w:tc>
        <w:tc>
          <w:tcPr>
            <w:tcW w:w="0" w:type="auto"/>
            <w:tcBorders>
              <w:top w:val="nil"/>
              <w:left w:val="nil"/>
              <w:bottom w:val="nil"/>
              <w:right w:val="nil"/>
            </w:tcBorders>
          </w:tcPr>
          <w:p w14:paraId="27388FE5"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-2.778</w:t>
            </w:r>
          </w:p>
        </w:tc>
        <w:tc>
          <w:tcPr>
            <w:tcW w:w="0" w:type="auto"/>
            <w:tcBorders>
              <w:top w:val="nil"/>
              <w:left w:val="nil"/>
              <w:bottom w:val="nil"/>
              <w:right w:val="nil"/>
            </w:tcBorders>
          </w:tcPr>
          <w:p w14:paraId="3FF51A6F"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0.840</w:t>
            </w:r>
          </w:p>
        </w:tc>
        <w:tc>
          <w:tcPr>
            <w:tcW w:w="0" w:type="auto"/>
            <w:tcBorders>
              <w:top w:val="nil"/>
              <w:left w:val="nil"/>
              <w:bottom w:val="nil"/>
              <w:right w:val="nil"/>
            </w:tcBorders>
          </w:tcPr>
          <w:p w14:paraId="3903F0C9"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-2.787</w:t>
            </w:r>
          </w:p>
        </w:tc>
        <w:tc>
          <w:tcPr>
            <w:tcW w:w="0" w:type="auto"/>
            <w:tcBorders>
              <w:top w:val="nil"/>
              <w:left w:val="nil"/>
              <w:bottom w:val="nil"/>
              <w:right w:val="nil"/>
            </w:tcBorders>
          </w:tcPr>
          <w:p w14:paraId="67392E67"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0.756</w:t>
            </w:r>
          </w:p>
        </w:tc>
        <w:tc>
          <w:tcPr>
            <w:tcW w:w="0" w:type="auto"/>
            <w:tcBorders>
              <w:top w:val="nil"/>
              <w:left w:val="nil"/>
              <w:bottom w:val="nil"/>
              <w:right w:val="nil"/>
            </w:tcBorders>
          </w:tcPr>
          <w:p w14:paraId="17B60807"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-2.757</w:t>
            </w:r>
          </w:p>
        </w:tc>
        <w:tc>
          <w:tcPr>
            <w:tcW w:w="0" w:type="auto"/>
            <w:tcBorders>
              <w:top w:val="nil"/>
              <w:left w:val="nil"/>
              <w:bottom w:val="nil"/>
              <w:right w:val="nil"/>
            </w:tcBorders>
          </w:tcPr>
          <w:p w14:paraId="3D5EA985"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0.651</w:t>
            </w:r>
          </w:p>
        </w:tc>
      </w:tr>
      <w:tr w:rsidR="00315077" w:rsidRPr="009B5B20" w14:paraId="26059DCE" w14:textId="77777777" w:rsidTr="00315077">
        <w:trPr>
          <w:jc w:val="center"/>
        </w:trPr>
        <w:tc>
          <w:tcPr>
            <w:tcW w:w="0" w:type="auto"/>
            <w:tcBorders>
              <w:top w:val="nil"/>
              <w:left w:val="nil"/>
              <w:bottom w:val="nil"/>
              <w:right w:val="nil"/>
            </w:tcBorders>
          </w:tcPr>
          <w:p w14:paraId="796D6F9C" w14:textId="77777777" w:rsidR="00315077" w:rsidRPr="009B5B20" w:rsidRDefault="00315077" w:rsidP="00315077">
            <w:pPr>
              <w:widowControl w:val="0"/>
              <w:autoSpaceDE w:val="0"/>
              <w:autoSpaceDN w:val="0"/>
              <w:adjustRightInd w:val="0"/>
              <w:rPr>
                <w:sz w:val="20"/>
                <w:szCs w:val="20"/>
              </w:rPr>
            </w:pPr>
          </w:p>
        </w:tc>
        <w:tc>
          <w:tcPr>
            <w:tcW w:w="0" w:type="auto"/>
            <w:tcBorders>
              <w:top w:val="nil"/>
              <w:left w:val="nil"/>
              <w:bottom w:val="nil"/>
              <w:right w:val="nil"/>
            </w:tcBorders>
          </w:tcPr>
          <w:p w14:paraId="765FAFD3"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(1.635)</w:t>
            </w:r>
          </w:p>
        </w:tc>
        <w:tc>
          <w:tcPr>
            <w:tcW w:w="0" w:type="auto"/>
            <w:tcBorders>
              <w:top w:val="nil"/>
              <w:left w:val="nil"/>
              <w:bottom w:val="nil"/>
              <w:right w:val="nil"/>
            </w:tcBorders>
          </w:tcPr>
          <w:p w14:paraId="4FE9311B"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(0.618)</w:t>
            </w:r>
          </w:p>
        </w:tc>
        <w:tc>
          <w:tcPr>
            <w:tcW w:w="0" w:type="auto"/>
            <w:tcBorders>
              <w:top w:val="nil"/>
              <w:left w:val="nil"/>
              <w:bottom w:val="nil"/>
              <w:right w:val="nil"/>
            </w:tcBorders>
          </w:tcPr>
          <w:p w14:paraId="400DB199"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(1.769)</w:t>
            </w:r>
          </w:p>
        </w:tc>
        <w:tc>
          <w:tcPr>
            <w:tcW w:w="0" w:type="auto"/>
            <w:tcBorders>
              <w:top w:val="nil"/>
              <w:left w:val="nil"/>
              <w:bottom w:val="nil"/>
              <w:right w:val="nil"/>
            </w:tcBorders>
          </w:tcPr>
          <w:p w14:paraId="68631DC9"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(0.588)</w:t>
            </w:r>
          </w:p>
        </w:tc>
        <w:tc>
          <w:tcPr>
            <w:tcW w:w="0" w:type="auto"/>
            <w:tcBorders>
              <w:top w:val="nil"/>
              <w:left w:val="nil"/>
              <w:bottom w:val="nil"/>
              <w:right w:val="nil"/>
            </w:tcBorders>
          </w:tcPr>
          <w:p w14:paraId="3D7A94BE"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(1.792)</w:t>
            </w:r>
          </w:p>
        </w:tc>
        <w:tc>
          <w:tcPr>
            <w:tcW w:w="0" w:type="auto"/>
            <w:tcBorders>
              <w:top w:val="nil"/>
              <w:left w:val="nil"/>
              <w:bottom w:val="nil"/>
              <w:right w:val="nil"/>
            </w:tcBorders>
          </w:tcPr>
          <w:p w14:paraId="22A90601"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(0.621)</w:t>
            </w:r>
          </w:p>
        </w:tc>
        <w:tc>
          <w:tcPr>
            <w:tcW w:w="0" w:type="auto"/>
            <w:tcBorders>
              <w:top w:val="nil"/>
              <w:left w:val="nil"/>
              <w:bottom w:val="nil"/>
              <w:right w:val="nil"/>
            </w:tcBorders>
          </w:tcPr>
          <w:p w14:paraId="49582B0E"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(1.967)</w:t>
            </w:r>
          </w:p>
        </w:tc>
        <w:tc>
          <w:tcPr>
            <w:tcW w:w="0" w:type="auto"/>
            <w:tcBorders>
              <w:top w:val="nil"/>
              <w:left w:val="nil"/>
              <w:bottom w:val="nil"/>
              <w:right w:val="nil"/>
            </w:tcBorders>
          </w:tcPr>
          <w:p w14:paraId="567897FE"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(0.595)</w:t>
            </w:r>
          </w:p>
        </w:tc>
        <w:tc>
          <w:tcPr>
            <w:tcW w:w="0" w:type="auto"/>
            <w:tcBorders>
              <w:top w:val="nil"/>
              <w:left w:val="nil"/>
              <w:bottom w:val="nil"/>
              <w:right w:val="nil"/>
            </w:tcBorders>
          </w:tcPr>
          <w:p w14:paraId="6B6BD84B"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(1.887)</w:t>
            </w:r>
          </w:p>
        </w:tc>
        <w:tc>
          <w:tcPr>
            <w:tcW w:w="0" w:type="auto"/>
            <w:tcBorders>
              <w:top w:val="nil"/>
              <w:left w:val="nil"/>
              <w:bottom w:val="nil"/>
              <w:right w:val="nil"/>
            </w:tcBorders>
          </w:tcPr>
          <w:p w14:paraId="23559A1A"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(0.594)</w:t>
            </w:r>
          </w:p>
        </w:tc>
      </w:tr>
      <w:tr w:rsidR="00315077" w:rsidRPr="009B5B20" w14:paraId="57581FF8" w14:textId="77777777" w:rsidTr="00315077">
        <w:trPr>
          <w:jc w:val="center"/>
        </w:trPr>
        <w:tc>
          <w:tcPr>
            <w:tcW w:w="0" w:type="auto"/>
            <w:tcBorders>
              <w:top w:val="nil"/>
              <w:left w:val="nil"/>
              <w:bottom w:val="nil"/>
              <w:right w:val="nil"/>
            </w:tcBorders>
          </w:tcPr>
          <w:p w14:paraId="4083B0D1" w14:textId="77777777" w:rsidR="00315077" w:rsidRPr="009B5B20" w:rsidRDefault="00315077" w:rsidP="00315077">
            <w:pPr>
              <w:widowControl w:val="0"/>
              <w:autoSpaceDE w:val="0"/>
              <w:autoSpaceDN w:val="0"/>
              <w:adjustRightInd w:val="0"/>
              <w:rPr>
                <w:sz w:val="20"/>
                <w:szCs w:val="20"/>
              </w:rPr>
            </w:pPr>
            <w:r w:rsidRPr="009B5B20">
              <w:rPr>
                <w:sz w:val="20"/>
                <w:szCs w:val="20"/>
              </w:rPr>
              <w:t>Age</w:t>
            </w:r>
          </w:p>
        </w:tc>
        <w:tc>
          <w:tcPr>
            <w:tcW w:w="0" w:type="auto"/>
            <w:tcBorders>
              <w:top w:val="nil"/>
              <w:left w:val="nil"/>
              <w:bottom w:val="nil"/>
              <w:right w:val="nil"/>
            </w:tcBorders>
          </w:tcPr>
          <w:p w14:paraId="1723189F"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-3.639***</w:t>
            </w:r>
          </w:p>
        </w:tc>
        <w:tc>
          <w:tcPr>
            <w:tcW w:w="0" w:type="auto"/>
            <w:tcBorders>
              <w:top w:val="nil"/>
              <w:left w:val="nil"/>
              <w:bottom w:val="nil"/>
              <w:right w:val="nil"/>
            </w:tcBorders>
          </w:tcPr>
          <w:p w14:paraId="3874454F"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0.776</w:t>
            </w:r>
          </w:p>
        </w:tc>
        <w:tc>
          <w:tcPr>
            <w:tcW w:w="0" w:type="auto"/>
            <w:tcBorders>
              <w:top w:val="nil"/>
              <w:left w:val="nil"/>
              <w:bottom w:val="nil"/>
              <w:right w:val="nil"/>
            </w:tcBorders>
          </w:tcPr>
          <w:p w14:paraId="5F93AE5B"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-4.095***</w:t>
            </w:r>
          </w:p>
        </w:tc>
        <w:tc>
          <w:tcPr>
            <w:tcW w:w="0" w:type="auto"/>
            <w:tcBorders>
              <w:top w:val="nil"/>
              <w:left w:val="nil"/>
              <w:bottom w:val="nil"/>
              <w:right w:val="nil"/>
            </w:tcBorders>
          </w:tcPr>
          <w:p w14:paraId="3F94BDEA"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0.582</w:t>
            </w:r>
          </w:p>
        </w:tc>
        <w:tc>
          <w:tcPr>
            <w:tcW w:w="0" w:type="auto"/>
            <w:tcBorders>
              <w:top w:val="nil"/>
              <w:left w:val="nil"/>
              <w:bottom w:val="nil"/>
              <w:right w:val="nil"/>
            </w:tcBorders>
          </w:tcPr>
          <w:p w14:paraId="48468037"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-3.549***</w:t>
            </w:r>
          </w:p>
        </w:tc>
        <w:tc>
          <w:tcPr>
            <w:tcW w:w="0" w:type="auto"/>
            <w:tcBorders>
              <w:top w:val="nil"/>
              <w:left w:val="nil"/>
              <w:bottom w:val="nil"/>
              <w:right w:val="nil"/>
            </w:tcBorders>
          </w:tcPr>
          <w:p w14:paraId="53B19F63"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0.821</w:t>
            </w:r>
          </w:p>
        </w:tc>
        <w:tc>
          <w:tcPr>
            <w:tcW w:w="0" w:type="auto"/>
            <w:tcBorders>
              <w:top w:val="nil"/>
              <w:left w:val="nil"/>
              <w:bottom w:val="nil"/>
              <w:right w:val="nil"/>
            </w:tcBorders>
          </w:tcPr>
          <w:p w14:paraId="603C77E6"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-4.054***</w:t>
            </w:r>
          </w:p>
        </w:tc>
        <w:tc>
          <w:tcPr>
            <w:tcW w:w="0" w:type="auto"/>
            <w:tcBorders>
              <w:top w:val="nil"/>
              <w:left w:val="nil"/>
              <w:bottom w:val="nil"/>
              <w:right w:val="nil"/>
            </w:tcBorders>
          </w:tcPr>
          <w:p w14:paraId="0AD091B8"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0.583</w:t>
            </w:r>
          </w:p>
        </w:tc>
        <w:tc>
          <w:tcPr>
            <w:tcW w:w="0" w:type="auto"/>
            <w:tcBorders>
              <w:top w:val="nil"/>
              <w:left w:val="nil"/>
              <w:bottom w:val="nil"/>
              <w:right w:val="nil"/>
            </w:tcBorders>
          </w:tcPr>
          <w:p w14:paraId="7E72E72D"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-4.063***</w:t>
            </w:r>
          </w:p>
        </w:tc>
        <w:tc>
          <w:tcPr>
            <w:tcW w:w="0" w:type="auto"/>
            <w:tcBorders>
              <w:top w:val="nil"/>
              <w:left w:val="nil"/>
              <w:bottom w:val="nil"/>
              <w:right w:val="nil"/>
            </w:tcBorders>
          </w:tcPr>
          <w:p w14:paraId="191BB76A"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0.701</w:t>
            </w:r>
          </w:p>
        </w:tc>
      </w:tr>
      <w:tr w:rsidR="00315077" w:rsidRPr="009B5B20" w14:paraId="052BB0FB" w14:textId="77777777" w:rsidTr="00315077">
        <w:trPr>
          <w:jc w:val="center"/>
        </w:trPr>
        <w:tc>
          <w:tcPr>
            <w:tcW w:w="0" w:type="auto"/>
            <w:tcBorders>
              <w:top w:val="nil"/>
              <w:left w:val="nil"/>
              <w:bottom w:val="nil"/>
              <w:right w:val="nil"/>
            </w:tcBorders>
          </w:tcPr>
          <w:p w14:paraId="6ACF4B5A" w14:textId="77777777" w:rsidR="00315077" w:rsidRPr="009B5B20" w:rsidRDefault="00315077" w:rsidP="00315077">
            <w:pPr>
              <w:widowControl w:val="0"/>
              <w:autoSpaceDE w:val="0"/>
              <w:autoSpaceDN w:val="0"/>
              <w:adjustRightInd w:val="0"/>
              <w:rPr>
                <w:sz w:val="20"/>
                <w:szCs w:val="20"/>
              </w:rPr>
            </w:pPr>
          </w:p>
        </w:tc>
        <w:tc>
          <w:tcPr>
            <w:tcW w:w="0" w:type="auto"/>
            <w:tcBorders>
              <w:top w:val="nil"/>
              <w:left w:val="nil"/>
              <w:bottom w:val="nil"/>
              <w:right w:val="nil"/>
            </w:tcBorders>
          </w:tcPr>
          <w:p w14:paraId="2D8AA8DE"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(0.669)</w:t>
            </w:r>
          </w:p>
        </w:tc>
        <w:tc>
          <w:tcPr>
            <w:tcW w:w="0" w:type="auto"/>
            <w:tcBorders>
              <w:top w:val="nil"/>
              <w:left w:val="nil"/>
              <w:bottom w:val="nil"/>
              <w:right w:val="nil"/>
            </w:tcBorders>
          </w:tcPr>
          <w:p w14:paraId="3B7D1927"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(0.629)</w:t>
            </w:r>
          </w:p>
        </w:tc>
        <w:tc>
          <w:tcPr>
            <w:tcW w:w="0" w:type="auto"/>
            <w:tcBorders>
              <w:top w:val="nil"/>
              <w:left w:val="nil"/>
              <w:bottom w:val="nil"/>
              <w:right w:val="nil"/>
            </w:tcBorders>
          </w:tcPr>
          <w:p w14:paraId="493AB21A"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(0.770)</w:t>
            </w:r>
          </w:p>
        </w:tc>
        <w:tc>
          <w:tcPr>
            <w:tcW w:w="0" w:type="auto"/>
            <w:tcBorders>
              <w:top w:val="nil"/>
              <w:left w:val="nil"/>
              <w:bottom w:val="nil"/>
              <w:right w:val="nil"/>
            </w:tcBorders>
          </w:tcPr>
          <w:p w14:paraId="6BCF6D7A"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(0.656)</w:t>
            </w:r>
          </w:p>
        </w:tc>
        <w:tc>
          <w:tcPr>
            <w:tcW w:w="0" w:type="auto"/>
            <w:tcBorders>
              <w:top w:val="nil"/>
              <w:left w:val="nil"/>
              <w:bottom w:val="nil"/>
              <w:right w:val="nil"/>
            </w:tcBorders>
          </w:tcPr>
          <w:p w14:paraId="0FA7DFF4"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(0.641)</w:t>
            </w:r>
          </w:p>
        </w:tc>
        <w:tc>
          <w:tcPr>
            <w:tcW w:w="0" w:type="auto"/>
            <w:tcBorders>
              <w:top w:val="nil"/>
              <w:left w:val="nil"/>
              <w:bottom w:val="nil"/>
              <w:right w:val="nil"/>
            </w:tcBorders>
          </w:tcPr>
          <w:p w14:paraId="36474638"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(0.627)</w:t>
            </w:r>
          </w:p>
        </w:tc>
        <w:tc>
          <w:tcPr>
            <w:tcW w:w="0" w:type="auto"/>
            <w:tcBorders>
              <w:top w:val="nil"/>
              <w:left w:val="nil"/>
              <w:bottom w:val="nil"/>
              <w:right w:val="nil"/>
            </w:tcBorders>
          </w:tcPr>
          <w:p w14:paraId="675D9D1F"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(0.749)</w:t>
            </w:r>
          </w:p>
        </w:tc>
        <w:tc>
          <w:tcPr>
            <w:tcW w:w="0" w:type="auto"/>
            <w:tcBorders>
              <w:top w:val="nil"/>
              <w:left w:val="nil"/>
              <w:bottom w:val="nil"/>
              <w:right w:val="nil"/>
            </w:tcBorders>
          </w:tcPr>
          <w:p w14:paraId="0D6192BE"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(0.657)</w:t>
            </w:r>
          </w:p>
        </w:tc>
        <w:tc>
          <w:tcPr>
            <w:tcW w:w="0" w:type="auto"/>
            <w:tcBorders>
              <w:top w:val="nil"/>
              <w:left w:val="nil"/>
              <w:bottom w:val="nil"/>
              <w:right w:val="nil"/>
            </w:tcBorders>
          </w:tcPr>
          <w:p w14:paraId="73474CC0"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(0.755)</w:t>
            </w:r>
          </w:p>
        </w:tc>
        <w:tc>
          <w:tcPr>
            <w:tcW w:w="0" w:type="auto"/>
            <w:tcBorders>
              <w:top w:val="nil"/>
              <w:left w:val="nil"/>
              <w:bottom w:val="nil"/>
              <w:right w:val="nil"/>
            </w:tcBorders>
          </w:tcPr>
          <w:p w14:paraId="115857C4"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(0.709)</w:t>
            </w:r>
          </w:p>
        </w:tc>
      </w:tr>
      <w:tr w:rsidR="00315077" w:rsidRPr="009B5B20" w14:paraId="5F008E8E" w14:textId="77777777" w:rsidTr="00315077">
        <w:trPr>
          <w:jc w:val="center"/>
        </w:trPr>
        <w:tc>
          <w:tcPr>
            <w:tcW w:w="0" w:type="auto"/>
            <w:tcBorders>
              <w:top w:val="nil"/>
              <w:left w:val="nil"/>
              <w:bottom w:val="nil"/>
              <w:right w:val="nil"/>
            </w:tcBorders>
          </w:tcPr>
          <w:p w14:paraId="78313830" w14:textId="77777777" w:rsidR="00315077" w:rsidRPr="009B5B20" w:rsidRDefault="00315077" w:rsidP="00315077">
            <w:pPr>
              <w:widowControl w:val="0"/>
              <w:autoSpaceDE w:val="0"/>
              <w:autoSpaceDN w:val="0"/>
              <w:adjustRightInd w:val="0"/>
              <w:rPr>
                <w:sz w:val="20"/>
                <w:szCs w:val="20"/>
              </w:rPr>
            </w:pPr>
            <w:r>
              <w:rPr>
                <w:sz w:val="20"/>
                <w:szCs w:val="20"/>
              </w:rPr>
              <w:t>Age Squared</w:t>
            </w:r>
          </w:p>
        </w:tc>
        <w:tc>
          <w:tcPr>
            <w:tcW w:w="0" w:type="auto"/>
            <w:tcBorders>
              <w:top w:val="nil"/>
              <w:left w:val="nil"/>
              <w:bottom w:val="nil"/>
              <w:right w:val="nil"/>
            </w:tcBorders>
          </w:tcPr>
          <w:p w14:paraId="134593AF"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0.0364***</w:t>
            </w:r>
          </w:p>
        </w:tc>
        <w:tc>
          <w:tcPr>
            <w:tcW w:w="0" w:type="auto"/>
            <w:tcBorders>
              <w:top w:val="nil"/>
              <w:left w:val="nil"/>
              <w:bottom w:val="nil"/>
              <w:right w:val="nil"/>
            </w:tcBorders>
          </w:tcPr>
          <w:p w14:paraId="6F3F58FE"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-0.00853</w:t>
            </w:r>
          </w:p>
        </w:tc>
        <w:tc>
          <w:tcPr>
            <w:tcW w:w="0" w:type="auto"/>
            <w:tcBorders>
              <w:top w:val="nil"/>
              <w:left w:val="nil"/>
              <w:bottom w:val="nil"/>
              <w:right w:val="nil"/>
            </w:tcBorders>
          </w:tcPr>
          <w:p w14:paraId="6C45FFDB"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0.0405***</w:t>
            </w:r>
          </w:p>
        </w:tc>
        <w:tc>
          <w:tcPr>
            <w:tcW w:w="0" w:type="auto"/>
            <w:tcBorders>
              <w:top w:val="nil"/>
              <w:left w:val="nil"/>
              <w:bottom w:val="nil"/>
              <w:right w:val="nil"/>
            </w:tcBorders>
          </w:tcPr>
          <w:p w14:paraId="547570DD"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-0.00683</w:t>
            </w:r>
          </w:p>
        </w:tc>
        <w:tc>
          <w:tcPr>
            <w:tcW w:w="0" w:type="auto"/>
            <w:tcBorders>
              <w:top w:val="nil"/>
              <w:left w:val="nil"/>
              <w:bottom w:val="nil"/>
              <w:right w:val="nil"/>
            </w:tcBorders>
          </w:tcPr>
          <w:p w14:paraId="3877B550"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0.0354***</w:t>
            </w:r>
          </w:p>
        </w:tc>
        <w:tc>
          <w:tcPr>
            <w:tcW w:w="0" w:type="auto"/>
            <w:tcBorders>
              <w:top w:val="nil"/>
              <w:left w:val="nil"/>
              <w:bottom w:val="nil"/>
              <w:right w:val="nil"/>
            </w:tcBorders>
          </w:tcPr>
          <w:p w14:paraId="63738E89"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-0.00894</w:t>
            </w:r>
          </w:p>
        </w:tc>
        <w:tc>
          <w:tcPr>
            <w:tcW w:w="0" w:type="auto"/>
            <w:tcBorders>
              <w:top w:val="nil"/>
              <w:left w:val="nil"/>
              <w:bottom w:val="nil"/>
              <w:right w:val="nil"/>
            </w:tcBorders>
          </w:tcPr>
          <w:p w14:paraId="632FFAC1"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0.0400***</w:t>
            </w:r>
          </w:p>
        </w:tc>
        <w:tc>
          <w:tcPr>
            <w:tcW w:w="0" w:type="auto"/>
            <w:tcBorders>
              <w:top w:val="nil"/>
              <w:left w:val="nil"/>
              <w:bottom w:val="nil"/>
              <w:right w:val="nil"/>
            </w:tcBorders>
          </w:tcPr>
          <w:p w14:paraId="42B3A7EA"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-0.00685</w:t>
            </w:r>
          </w:p>
        </w:tc>
        <w:tc>
          <w:tcPr>
            <w:tcW w:w="0" w:type="auto"/>
            <w:tcBorders>
              <w:top w:val="nil"/>
              <w:left w:val="nil"/>
              <w:bottom w:val="nil"/>
              <w:right w:val="nil"/>
            </w:tcBorders>
          </w:tcPr>
          <w:p w14:paraId="013D81C5"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0.0401***</w:t>
            </w:r>
          </w:p>
        </w:tc>
        <w:tc>
          <w:tcPr>
            <w:tcW w:w="0" w:type="auto"/>
            <w:tcBorders>
              <w:top w:val="nil"/>
              <w:left w:val="nil"/>
              <w:bottom w:val="nil"/>
              <w:right w:val="nil"/>
            </w:tcBorders>
          </w:tcPr>
          <w:p w14:paraId="2FA81A2A"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-0.00790</w:t>
            </w:r>
          </w:p>
        </w:tc>
      </w:tr>
      <w:tr w:rsidR="00315077" w:rsidRPr="009B5B20" w14:paraId="75CCBE9B" w14:textId="77777777" w:rsidTr="00315077">
        <w:trPr>
          <w:jc w:val="center"/>
        </w:trPr>
        <w:tc>
          <w:tcPr>
            <w:tcW w:w="0" w:type="auto"/>
            <w:tcBorders>
              <w:top w:val="nil"/>
              <w:left w:val="nil"/>
              <w:bottom w:val="nil"/>
              <w:right w:val="nil"/>
            </w:tcBorders>
          </w:tcPr>
          <w:p w14:paraId="3369C600" w14:textId="77777777" w:rsidR="00315077" w:rsidRPr="009B5B20" w:rsidRDefault="00315077" w:rsidP="00315077">
            <w:pPr>
              <w:widowControl w:val="0"/>
              <w:autoSpaceDE w:val="0"/>
              <w:autoSpaceDN w:val="0"/>
              <w:adjustRightInd w:val="0"/>
              <w:rPr>
                <w:sz w:val="20"/>
                <w:szCs w:val="20"/>
              </w:rPr>
            </w:pPr>
          </w:p>
        </w:tc>
        <w:tc>
          <w:tcPr>
            <w:tcW w:w="0" w:type="auto"/>
            <w:tcBorders>
              <w:top w:val="nil"/>
              <w:left w:val="nil"/>
              <w:bottom w:val="nil"/>
              <w:right w:val="nil"/>
            </w:tcBorders>
          </w:tcPr>
          <w:p w14:paraId="7BDDB913"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(0.00647)</w:t>
            </w:r>
          </w:p>
        </w:tc>
        <w:tc>
          <w:tcPr>
            <w:tcW w:w="0" w:type="auto"/>
            <w:tcBorders>
              <w:top w:val="nil"/>
              <w:left w:val="nil"/>
              <w:bottom w:val="nil"/>
              <w:right w:val="nil"/>
            </w:tcBorders>
          </w:tcPr>
          <w:p w14:paraId="04120E42"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(0.00608)</w:t>
            </w:r>
          </w:p>
        </w:tc>
        <w:tc>
          <w:tcPr>
            <w:tcW w:w="0" w:type="auto"/>
            <w:tcBorders>
              <w:top w:val="nil"/>
              <w:left w:val="nil"/>
              <w:bottom w:val="nil"/>
              <w:right w:val="nil"/>
            </w:tcBorders>
          </w:tcPr>
          <w:p w14:paraId="43B9B34C"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(0.00742)</w:t>
            </w:r>
          </w:p>
        </w:tc>
        <w:tc>
          <w:tcPr>
            <w:tcW w:w="0" w:type="auto"/>
            <w:tcBorders>
              <w:top w:val="nil"/>
              <w:left w:val="nil"/>
              <w:bottom w:val="nil"/>
              <w:right w:val="nil"/>
            </w:tcBorders>
          </w:tcPr>
          <w:p w14:paraId="462042BA"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(0.00639)</w:t>
            </w:r>
          </w:p>
        </w:tc>
        <w:tc>
          <w:tcPr>
            <w:tcW w:w="0" w:type="auto"/>
            <w:tcBorders>
              <w:top w:val="nil"/>
              <w:left w:val="nil"/>
              <w:bottom w:val="nil"/>
              <w:right w:val="nil"/>
            </w:tcBorders>
          </w:tcPr>
          <w:p w14:paraId="5EACA46C"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(0.00620)</w:t>
            </w:r>
          </w:p>
        </w:tc>
        <w:tc>
          <w:tcPr>
            <w:tcW w:w="0" w:type="auto"/>
            <w:tcBorders>
              <w:top w:val="nil"/>
              <w:left w:val="nil"/>
              <w:bottom w:val="nil"/>
              <w:right w:val="nil"/>
            </w:tcBorders>
          </w:tcPr>
          <w:p w14:paraId="202CAEAF"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(0.00605)</w:t>
            </w:r>
          </w:p>
        </w:tc>
        <w:tc>
          <w:tcPr>
            <w:tcW w:w="0" w:type="auto"/>
            <w:tcBorders>
              <w:top w:val="nil"/>
              <w:left w:val="nil"/>
              <w:bottom w:val="nil"/>
              <w:right w:val="nil"/>
            </w:tcBorders>
          </w:tcPr>
          <w:p w14:paraId="6D36352E"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(0.00721)</w:t>
            </w:r>
          </w:p>
        </w:tc>
        <w:tc>
          <w:tcPr>
            <w:tcW w:w="0" w:type="auto"/>
            <w:tcBorders>
              <w:top w:val="nil"/>
              <w:left w:val="nil"/>
              <w:bottom w:val="nil"/>
              <w:right w:val="nil"/>
            </w:tcBorders>
          </w:tcPr>
          <w:p w14:paraId="53A31C19"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(0.00641)</w:t>
            </w:r>
          </w:p>
        </w:tc>
        <w:tc>
          <w:tcPr>
            <w:tcW w:w="0" w:type="auto"/>
            <w:tcBorders>
              <w:top w:val="nil"/>
              <w:left w:val="nil"/>
              <w:bottom w:val="nil"/>
              <w:right w:val="nil"/>
            </w:tcBorders>
          </w:tcPr>
          <w:p w14:paraId="3379C49F"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(0.00728)</w:t>
            </w:r>
          </w:p>
        </w:tc>
        <w:tc>
          <w:tcPr>
            <w:tcW w:w="0" w:type="auto"/>
            <w:tcBorders>
              <w:top w:val="nil"/>
              <w:left w:val="nil"/>
              <w:bottom w:val="nil"/>
              <w:right w:val="nil"/>
            </w:tcBorders>
          </w:tcPr>
          <w:p w14:paraId="6178E3EC"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(0.00690)</w:t>
            </w:r>
          </w:p>
        </w:tc>
      </w:tr>
      <w:tr w:rsidR="00315077" w:rsidRPr="009B5B20" w14:paraId="09A258EA" w14:textId="77777777" w:rsidTr="00315077">
        <w:trPr>
          <w:jc w:val="center"/>
        </w:trPr>
        <w:tc>
          <w:tcPr>
            <w:tcW w:w="0" w:type="auto"/>
            <w:tcBorders>
              <w:top w:val="nil"/>
              <w:left w:val="nil"/>
              <w:bottom w:val="nil"/>
              <w:right w:val="nil"/>
            </w:tcBorders>
          </w:tcPr>
          <w:p w14:paraId="4AB93366" w14:textId="77777777" w:rsidR="00315077" w:rsidRPr="009B5B20" w:rsidRDefault="00315077" w:rsidP="00315077">
            <w:pPr>
              <w:widowControl w:val="0"/>
              <w:autoSpaceDE w:val="0"/>
              <w:autoSpaceDN w:val="0"/>
              <w:adjustRightInd w:val="0"/>
              <w:rPr>
                <w:sz w:val="20"/>
                <w:szCs w:val="20"/>
              </w:rPr>
            </w:pPr>
            <w:r w:rsidRPr="009B5B20">
              <w:rPr>
                <w:sz w:val="20"/>
                <w:szCs w:val="20"/>
              </w:rPr>
              <w:t>Graduate Degree</w:t>
            </w:r>
          </w:p>
        </w:tc>
        <w:tc>
          <w:tcPr>
            <w:tcW w:w="0" w:type="auto"/>
            <w:tcBorders>
              <w:top w:val="nil"/>
              <w:left w:val="nil"/>
              <w:bottom w:val="nil"/>
              <w:right w:val="nil"/>
            </w:tcBorders>
          </w:tcPr>
          <w:p w14:paraId="3DF5A9E5"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-1.088*</w:t>
            </w:r>
          </w:p>
        </w:tc>
        <w:tc>
          <w:tcPr>
            <w:tcW w:w="0" w:type="auto"/>
            <w:tcBorders>
              <w:top w:val="nil"/>
              <w:left w:val="nil"/>
              <w:bottom w:val="nil"/>
              <w:right w:val="nil"/>
            </w:tcBorders>
          </w:tcPr>
          <w:p w14:paraId="148387DE"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0.421</w:t>
            </w:r>
          </w:p>
        </w:tc>
        <w:tc>
          <w:tcPr>
            <w:tcW w:w="0" w:type="auto"/>
            <w:tcBorders>
              <w:top w:val="nil"/>
              <w:left w:val="nil"/>
              <w:bottom w:val="nil"/>
              <w:right w:val="nil"/>
            </w:tcBorders>
          </w:tcPr>
          <w:p w14:paraId="150002AD"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-1.272**</w:t>
            </w:r>
          </w:p>
        </w:tc>
        <w:tc>
          <w:tcPr>
            <w:tcW w:w="0" w:type="auto"/>
            <w:tcBorders>
              <w:top w:val="nil"/>
              <w:left w:val="nil"/>
              <w:bottom w:val="nil"/>
              <w:right w:val="nil"/>
            </w:tcBorders>
          </w:tcPr>
          <w:p w14:paraId="3C737513"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0.767*</w:t>
            </w:r>
          </w:p>
        </w:tc>
        <w:tc>
          <w:tcPr>
            <w:tcW w:w="0" w:type="auto"/>
            <w:tcBorders>
              <w:top w:val="nil"/>
              <w:left w:val="nil"/>
              <w:bottom w:val="nil"/>
              <w:right w:val="nil"/>
            </w:tcBorders>
          </w:tcPr>
          <w:p w14:paraId="345F25A8"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-1.055*</w:t>
            </w:r>
          </w:p>
        </w:tc>
        <w:tc>
          <w:tcPr>
            <w:tcW w:w="0" w:type="auto"/>
            <w:tcBorders>
              <w:top w:val="nil"/>
              <w:left w:val="nil"/>
              <w:bottom w:val="nil"/>
              <w:right w:val="nil"/>
            </w:tcBorders>
          </w:tcPr>
          <w:p w14:paraId="41346A02"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0.394</w:t>
            </w:r>
          </w:p>
        </w:tc>
        <w:tc>
          <w:tcPr>
            <w:tcW w:w="0" w:type="auto"/>
            <w:tcBorders>
              <w:top w:val="nil"/>
              <w:left w:val="nil"/>
              <w:bottom w:val="nil"/>
              <w:right w:val="nil"/>
            </w:tcBorders>
          </w:tcPr>
          <w:p w14:paraId="12D3AF9D"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-1.254**</w:t>
            </w:r>
          </w:p>
        </w:tc>
        <w:tc>
          <w:tcPr>
            <w:tcW w:w="0" w:type="auto"/>
            <w:tcBorders>
              <w:top w:val="nil"/>
              <w:left w:val="nil"/>
              <w:bottom w:val="nil"/>
              <w:right w:val="nil"/>
            </w:tcBorders>
          </w:tcPr>
          <w:p w14:paraId="5E04C831"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0.780</w:t>
            </w:r>
          </w:p>
        </w:tc>
        <w:tc>
          <w:tcPr>
            <w:tcW w:w="0" w:type="auto"/>
            <w:tcBorders>
              <w:top w:val="nil"/>
              <w:left w:val="nil"/>
              <w:bottom w:val="nil"/>
              <w:right w:val="nil"/>
            </w:tcBorders>
          </w:tcPr>
          <w:p w14:paraId="7880D571"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-1.265**</w:t>
            </w:r>
          </w:p>
        </w:tc>
        <w:tc>
          <w:tcPr>
            <w:tcW w:w="0" w:type="auto"/>
            <w:tcBorders>
              <w:top w:val="nil"/>
              <w:left w:val="nil"/>
              <w:bottom w:val="nil"/>
              <w:right w:val="nil"/>
            </w:tcBorders>
          </w:tcPr>
          <w:p w14:paraId="0189417F"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0.691</w:t>
            </w:r>
          </w:p>
        </w:tc>
      </w:tr>
      <w:tr w:rsidR="00315077" w:rsidRPr="009B5B20" w14:paraId="4618C786" w14:textId="77777777" w:rsidTr="00315077">
        <w:trPr>
          <w:jc w:val="center"/>
        </w:trPr>
        <w:tc>
          <w:tcPr>
            <w:tcW w:w="0" w:type="auto"/>
            <w:tcBorders>
              <w:top w:val="nil"/>
              <w:left w:val="nil"/>
              <w:bottom w:val="nil"/>
              <w:right w:val="nil"/>
            </w:tcBorders>
          </w:tcPr>
          <w:p w14:paraId="3439D031" w14:textId="77777777" w:rsidR="00315077" w:rsidRPr="009B5B20" w:rsidRDefault="00315077" w:rsidP="00315077">
            <w:pPr>
              <w:widowControl w:val="0"/>
              <w:autoSpaceDE w:val="0"/>
              <w:autoSpaceDN w:val="0"/>
              <w:adjustRightInd w:val="0"/>
              <w:rPr>
                <w:sz w:val="20"/>
                <w:szCs w:val="20"/>
              </w:rPr>
            </w:pPr>
          </w:p>
        </w:tc>
        <w:tc>
          <w:tcPr>
            <w:tcW w:w="0" w:type="auto"/>
            <w:tcBorders>
              <w:top w:val="nil"/>
              <w:left w:val="nil"/>
              <w:bottom w:val="nil"/>
              <w:right w:val="nil"/>
            </w:tcBorders>
          </w:tcPr>
          <w:p w14:paraId="28F4BC36"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(0.588)</w:t>
            </w:r>
          </w:p>
        </w:tc>
        <w:tc>
          <w:tcPr>
            <w:tcW w:w="0" w:type="auto"/>
            <w:tcBorders>
              <w:top w:val="nil"/>
              <w:left w:val="nil"/>
              <w:bottom w:val="nil"/>
              <w:right w:val="nil"/>
            </w:tcBorders>
          </w:tcPr>
          <w:p w14:paraId="4FE51BA0"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(0.424)</w:t>
            </w:r>
          </w:p>
        </w:tc>
        <w:tc>
          <w:tcPr>
            <w:tcW w:w="0" w:type="auto"/>
            <w:tcBorders>
              <w:top w:val="nil"/>
              <w:left w:val="nil"/>
              <w:bottom w:val="nil"/>
              <w:right w:val="nil"/>
            </w:tcBorders>
          </w:tcPr>
          <w:p w14:paraId="2361AD92"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(0.597)</w:t>
            </w:r>
          </w:p>
        </w:tc>
        <w:tc>
          <w:tcPr>
            <w:tcW w:w="0" w:type="auto"/>
            <w:tcBorders>
              <w:top w:val="nil"/>
              <w:left w:val="nil"/>
              <w:bottom w:val="nil"/>
              <w:right w:val="nil"/>
            </w:tcBorders>
          </w:tcPr>
          <w:p w14:paraId="754C6D23"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(0.465)</w:t>
            </w:r>
          </w:p>
        </w:tc>
        <w:tc>
          <w:tcPr>
            <w:tcW w:w="0" w:type="auto"/>
            <w:tcBorders>
              <w:top w:val="nil"/>
              <w:left w:val="nil"/>
              <w:bottom w:val="nil"/>
              <w:right w:val="nil"/>
            </w:tcBorders>
          </w:tcPr>
          <w:p w14:paraId="1003D346"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(0.555)</w:t>
            </w:r>
          </w:p>
        </w:tc>
        <w:tc>
          <w:tcPr>
            <w:tcW w:w="0" w:type="auto"/>
            <w:tcBorders>
              <w:top w:val="nil"/>
              <w:left w:val="nil"/>
              <w:bottom w:val="nil"/>
              <w:right w:val="nil"/>
            </w:tcBorders>
          </w:tcPr>
          <w:p w14:paraId="7DCCEC22"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(0.428)</w:t>
            </w:r>
          </w:p>
        </w:tc>
        <w:tc>
          <w:tcPr>
            <w:tcW w:w="0" w:type="auto"/>
            <w:tcBorders>
              <w:top w:val="nil"/>
              <w:left w:val="nil"/>
              <w:bottom w:val="nil"/>
              <w:right w:val="nil"/>
            </w:tcBorders>
          </w:tcPr>
          <w:p w14:paraId="398BCE09"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(0.574)</w:t>
            </w:r>
          </w:p>
        </w:tc>
        <w:tc>
          <w:tcPr>
            <w:tcW w:w="0" w:type="auto"/>
            <w:tcBorders>
              <w:top w:val="nil"/>
              <w:left w:val="nil"/>
              <w:bottom w:val="nil"/>
              <w:right w:val="nil"/>
            </w:tcBorders>
          </w:tcPr>
          <w:p w14:paraId="436C0882"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(0.478)</w:t>
            </w:r>
          </w:p>
        </w:tc>
        <w:tc>
          <w:tcPr>
            <w:tcW w:w="0" w:type="auto"/>
            <w:tcBorders>
              <w:top w:val="nil"/>
              <w:left w:val="nil"/>
              <w:bottom w:val="nil"/>
              <w:right w:val="nil"/>
            </w:tcBorders>
          </w:tcPr>
          <w:p w14:paraId="228F49E1"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(0.561)</w:t>
            </w:r>
          </w:p>
        </w:tc>
        <w:tc>
          <w:tcPr>
            <w:tcW w:w="0" w:type="auto"/>
            <w:tcBorders>
              <w:top w:val="nil"/>
              <w:left w:val="nil"/>
              <w:bottom w:val="nil"/>
              <w:right w:val="nil"/>
            </w:tcBorders>
          </w:tcPr>
          <w:p w14:paraId="6E1210BB"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(0.462)</w:t>
            </w:r>
          </w:p>
        </w:tc>
      </w:tr>
      <w:tr w:rsidR="00315077" w:rsidRPr="009B5B20" w14:paraId="641D2A09" w14:textId="77777777" w:rsidTr="00315077">
        <w:trPr>
          <w:jc w:val="center"/>
        </w:trPr>
        <w:tc>
          <w:tcPr>
            <w:tcW w:w="0" w:type="auto"/>
            <w:tcBorders>
              <w:top w:val="nil"/>
              <w:left w:val="nil"/>
              <w:bottom w:val="nil"/>
              <w:right w:val="nil"/>
            </w:tcBorders>
          </w:tcPr>
          <w:p w14:paraId="3FAB479B" w14:textId="77777777" w:rsidR="00315077" w:rsidRPr="009B5B20" w:rsidRDefault="00315077" w:rsidP="00315077">
            <w:pPr>
              <w:widowControl w:val="0"/>
              <w:autoSpaceDE w:val="0"/>
              <w:autoSpaceDN w:val="0"/>
              <w:adjustRightInd w:val="0"/>
              <w:rPr>
                <w:sz w:val="20"/>
                <w:szCs w:val="20"/>
              </w:rPr>
            </w:pPr>
            <w:r w:rsidRPr="009B5B20">
              <w:rPr>
                <w:sz w:val="20"/>
                <w:szCs w:val="20"/>
              </w:rPr>
              <w:t>Xi</w:t>
            </w:r>
          </w:p>
        </w:tc>
        <w:tc>
          <w:tcPr>
            <w:tcW w:w="0" w:type="auto"/>
            <w:tcBorders>
              <w:top w:val="nil"/>
              <w:left w:val="nil"/>
              <w:bottom w:val="nil"/>
              <w:right w:val="nil"/>
            </w:tcBorders>
          </w:tcPr>
          <w:p w14:paraId="28E6DCAD"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-0.133</w:t>
            </w:r>
          </w:p>
        </w:tc>
        <w:tc>
          <w:tcPr>
            <w:tcW w:w="0" w:type="auto"/>
            <w:tcBorders>
              <w:top w:val="nil"/>
              <w:left w:val="nil"/>
              <w:bottom w:val="nil"/>
              <w:right w:val="nil"/>
            </w:tcBorders>
          </w:tcPr>
          <w:p w14:paraId="3BACAABF"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0.104</w:t>
            </w:r>
          </w:p>
        </w:tc>
        <w:tc>
          <w:tcPr>
            <w:tcW w:w="0" w:type="auto"/>
            <w:tcBorders>
              <w:top w:val="nil"/>
              <w:left w:val="nil"/>
              <w:bottom w:val="nil"/>
              <w:right w:val="nil"/>
            </w:tcBorders>
          </w:tcPr>
          <w:p w14:paraId="6A1F2951"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0.0263</w:t>
            </w:r>
          </w:p>
        </w:tc>
        <w:tc>
          <w:tcPr>
            <w:tcW w:w="0" w:type="auto"/>
            <w:tcBorders>
              <w:top w:val="nil"/>
              <w:left w:val="nil"/>
              <w:bottom w:val="nil"/>
              <w:right w:val="nil"/>
            </w:tcBorders>
          </w:tcPr>
          <w:p w14:paraId="4880F0A7"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0.398</w:t>
            </w:r>
          </w:p>
        </w:tc>
        <w:tc>
          <w:tcPr>
            <w:tcW w:w="0" w:type="auto"/>
            <w:tcBorders>
              <w:top w:val="nil"/>
              <w:left w:val="nil"/>
              <w:bottom w:val="nil"/>
              <w:right w:val="nil"/>
            </w:tcBorders>
          </w:tcPr>
          <w:p w14:paraId="159D038C"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-0.182</w:t>
            </w:r>
          </w:p>
        </w:tc>
        <w:tc>
          <w:tcPr>
            <w:tcW w:w="0" w:type="auto"/>
            <w:tcBorders>
              <w:top w:val="nil"/>
              <w:left w:val="nil"/>
              <w:bottom w:val="nil"/>
              <w:right w:val="nil"/>
            </w:tcBorders>
          </w:tcPr>
          <w:p w14:paraId="439DD346"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0.000607</w:t>
            </w:r>
          </w:p>
        </w:tc>
        <w:tc>
          <w:tcPr>
            <w:tcW w:w="0" w:type="auto"/>
            <w:tcBorders>
              <w:top w:val="nil"/>
              <w:left w:val="nil"/>
              <w:bottom w:val="nil"/>
              <w:right w:val="nil"/>
            </w:tcBorders>
          </w:tcPr>
          <w:p w14:paraId="18BEEDDD"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-0.116</w:t>
            </w:r>
          </w:p>
        </w:tc>
        <w:tc>
          <w:tcPr>
            <w:tcW w:w="0" w:type="auto"/>
            <w:tcBorders>
              <w:top w:val="nil"/>
              <w:left w:val="nil"/>
              <w:bottom w:val="nil"/>
              <w:right w:val="nil"/>
            </w:tcBorders>
          </w:tcPr>
          <w:p w14:paraId="6FB7EB0F"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0.433</w:t>
            </w:r>
          </w:p>
        </w:tc>
        <w:tc>
          <w:tcPr>
            <w:tcW w:w="0" w:type="auto"/>
            <w:tcBorders>
              <w:top w:val="nil"/>
              <w:left w:val="nil"/>
              <w:bottom w:val="nil"/>
              <w:right w:val="nil"/>
            </w:tcBorders>
          </w:tcPr>
          <w:p w14:paraId="7DC18BFE"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-0.134</w:t>
            </w:r>
          </w:p>
        </w:tc>
        <w:tc>
          <w:tcPr>
            <w:tcW w:w="0" w:type="auto"/>
            <w:tcBorders>
              <w:top w:val="nil"/>
              <w:left w:val="nil"/>
              <w:bottom w:val="nil"/>
              <w:right w:val="nil"/>
            </w:tcBorders>
          </w:tcPr>
          <w:p w14:paraId="05247EB2"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0.282</w:t>
            </w:r>
          </w:p>
        </w:tc>
      </w:tr>
      <w:tr w:rsidR="00315077" w:rsidRPr="009B5B20" w14:paraId="290BA127" w14:textId="77777777" w:rsidTr="00315077">
        <w:trPr>
          <w:jc w:val="center"/>
        </w:trPr>
        <w:tc>
          <w:tcPr>
            <w:tcW w:w="0" w:type="auto"/>
            <w:tcBorders>
              <w:top w:val="nil"/>
              <w:left w:val="nil"/>
              <w:bottom w:val="nil"/>
              <w:right w:val="nil"/>
            </w:tcBorders>
          </w:tcPr>
          <w:p w14:paraId="4DE27E06" w14:textId="77777777" w:rsidR="00315077" w:rsidRPr="009B5B20" w:rsidRDefault="00315077" w:rsidP="00315077">
            <w:pPr>
              <w:widowControl w:val="0"/>
              <w:autoSpaceDE w:val="0"/>
              <w:autoSpaceDN w:val="0"/>
              <w:adjustRightInd w:val="0"/>
              <w:rPr>
                <w:sz w:val="20"/>
                <w:szCs w:val="20"/>
              </w:rPr>
            </w:pPr>
          </w:p>
        </w:tc>
        <w:tc>
          <w:tcPr>
            <w:tcW w:w="0" w:type="auto"/>
            <w:tcBorders>
              <w:top w:val="nil"/>
              <w:left w:val="nil"/>
              <w:bottom w:val="nil"/>
              <w:right w:val="nil"/>
            </w:tcBorders>
          </w:tcPr>
          <w:p w14:paraId="05099575"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(0.335)</w:t>
            </w:r>
          </w:p>
        </w:tc>
        <w:tc>
          <w:tcPr>
            <w:tcW w:w="0" w:type="auto"/>
            <w:tcBorders>
              <w:top w:val="nil"/>
              <w:left w:val="nil"/>
              <w:bottom w:val="nil"/>
              <w:right w:val="nil"/>
            </w:tcBorders>
          </w:tcPr>
          <w:p w14:paraId="5BB764D9"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(0.395)</w:t>
            </w:r>
          </w:p>
        </w:tc>
        <w:tc>
          <w:tcPr>
            <w:tcW w:w="0" w:type="auto"/>
            <w:tcBorders>
              <w:top w:val="nil"/>
              <w:left w:val="nil"/>
              <w:bottom w:val="nil"/>
              <w:right w:val="nil"/>
            </w:tcBorders>
          </w:tcPr>
          <w:p w14:paraId="25A4AD47"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(0.390)</w:t>
            </w:r>
          </w:p>
        </w:tc>
        <w:tc>
          <w:tcPr>
            <w:tcW w:w="0" w:type="auto"/>
            <w:tcBorders>
              <w:top w:val="nil"/>
              <w:left w:val="nil"/>
              <w:bottom w:val="nil"/>
              <w:right w:val="nil"/>
            </w:tcBorders>
          </w:tcPr>
          <w:p w14:paraId="39984B78"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(0.449)</w:t>
            </w:r>
          </w:p>
        </w:tc>
        <w:tc>
          <w:tcPr>
            <w:tcW w:w="0" w:type="auto"/>
            <w:tcBorders>
              <w:top w:val="nil"/>
              <w:left w:val="nil"/>
              <w:bottom w:val="nil"/>
              <w:right w:val="nil"/>
            </w:tcBorders>
          </w:tcPr>
          <w:p w14:paraId="229409CC"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(0.318)</w:t>
            </w:r>
          </w:p>
        </w:tc>
        <w:tc>
          <w:tcPr>
            <w:tcW w:w="0" w:type="auto"/>
            <w:tcBorders>
              <w:top w:val="nil"/>
              <w:left w:val="nil"/>
              <w:bottom w:val="nil"/>
              <w:right w:val="nil"/>
            </w:tcBorders>
          </w:tcPr>
          <w:p w14:paraId="24488A5D"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(0.412)</w:t>
            </w:r>
          </w:p>
        </w:tc>
        <w:tc>
          <w:tcPr>
            <w:tcW w:w="0" w:type="auto"/>
            <w:tcBorders>
              <w:top w:val="nil"/>
              <w:left w:val="nil"/>
              <w:bottom w:val="nil"/>
              <w:right w:val="nil"/>
            </w:tcBorders>
          </w:tcPr>
          <w:p w14:paraId="0DF0CE8E"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(0.374)</w:t>
            </w:r>
          </w:p>
        </w:tc>
        <w:tc>
          <w:tcPr>
            <w:tcW w:w="0" w:type="auto"/>
            <w:tcBorders>
              <w:top w:val="nil"/>
              <w:left w:val="nil"/>
              <w:bottom w:val="nil"/>
              <w:right w:val="nil"/>
            </w:tcBorders>
          </w:tcPr>
          <w:p w14:paraId="6A30DCF9"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(0.438)</w:t>
            </w:r>
          </w:p>
        </w:tc>
        <w:tc>
          <w:tcPr>
            <w:tcW w:w="0" w:type="auto"/>
            <w:tcBorders>
              <w:top w:val="nil"/>
              <w:left w:val="nil"/>
              <w:bottom w:val="nil"/>
              <w:right w:val="nil"/>
            </w:tcBorders>
          </w:tcPr>
          <w:p w14:paraId="6F9A2FEB"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(0.354)</w:t>
            </w:r>
          </w:p>
        </w:tc>
        <w:tc>
          <w:tcPr>
            <w:tcW w:w="0" w:type="auto"/>
            <w:tcBorders>
              <w:top w:val="nil"/>
              <w:left w:val="nil"/>
              <w:bottom w:val="nil"/>
              <w:right w:val="nil"/>
            </w:tcBorders>
          </w:tcPr>
          <w:p w14:paraId="092D470E"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(0.434)</w:t>
            </w:r>
          </w:p>
        </w:tc>
      </w:tr>
      <w:tr w:rsidR="00315077" w:rsidRPr="009B5B20" w14:paraId="731E6DAA" w14:textId="77777777" w:rsidTr="00315077">
        <w:trPr>
          <w:jc w:val="center"/>
        </w:trPr>
        <w:tc>
          <w:tcPr>
            <w:tcW w:w="0" w:type="auto"/>
            <w:tcBorders>
              <w:top w:val="nil"/>
              <w:left w:val="nil"/>
              <w:bottom w:val="nil"/>
              <w:right w:val="nil"/>
            </w:tcBorders>
          </w:tcPr>
          <w:p w14:paraId="3E32306E" w14:textId="77777777" w:rsidR="00315077" w:rsidRPr="009B5B20" w:rsidRDefault="00315077" w:rsidP="00315077">
            <w:pPr>
              <w:widowControl w:val="0"/>
              <w:autoSpaceDE w:val="0"/>
              <w:autoSpaceDN w:val="0"/>
              <w:adjustRightInd w:val="0"/>
              <w:rPr>
                <w:sz w:val="20"/>
                <w:szCs w:val="20"/>
              </w:rPr>
            </w:pPr>
            <w:r w:rsidRPr="009B5B20">
              <w:rPr>
                <w:sz w:val="20"/>
                <w:szCs w:val="20"/>
              </w:rPr>
              <w:t>Constant</w:t>
            </w:r>
          </w:p>
        </w:tc>
        <w:tc>
          <w:tcPr>
            <w:tcW w:w="0" w:type="auto"/>
            <w:tcBorders>
              <w:top w:val="nil"/>
              <w:left w:val="nil"/>
              <w:bottom w:val="nil"/>
              <w:right w:val="nil"/>
            </w:tcBorders>
          </w:tcPr>
          <w:p w14:paraId="2678CEF1"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83.98***</w:t>
            </w:r>
          </w:p>
        </w:tc>
        <w:tc>
          <w:tcPr>
            <w:tcW w:w="0" w:type="auto"/>
            <w:tcBorders>
              <w:top w:val="nil"/>
              <w:left w:val="nil"/>
              <w:bottom w:val="nil"/>
              <w:right w:val="nil"/>
            </w:tcBorders>
          </w:tcPr>
          <w:p w14:paraId="03A7CB5F"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-22.02</w:t>
            </w:r>
          </w:p>
        </w:tc>
        <w:tc>
          <w:tcPr>
            <w:tcW w:w="0" w:type="auto"/>
            <w:tcBorders>
              <w:top w:val="nil"/>
              <w:left w:val="nil"/>
              <w:bottom w:val="nil"/>
              <w:right w:val="nil"/>
            </w:tcBorders>
          </w:tcPr>
          <w:p w14:paraId="5731AA7E"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96.26***</w:t>
            </w:r>
          </w:p>
        </w:tc>
        <w:tc>
          <w:tcPr>
            <w:tcW w:w="0" w:type="auto"/>
            <w:tcBorders>
              <w:top w:val="nil"/>
              <w:left w:val="nil"/>
              <w:bottom w:val="nil"/>
              <w:right w:val="nil"/>
            </w:tcBorders>
          </w:tcPr>
          <w:p w14:paraId="27667958"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-16.78</w:t>
            </w:r>
          </w:p>
        </w:tc>
        <w:tc>
          <w:tcPr>
            <w:tcW w:w="0" w:type="auto"/>
            <w:tcBorders>
              <w:top w:val="nil"/>
              <w:left w:val="nil"/>
              <w:bottom w:val="nil"/>
              <w:right w:val="nil"/>
            </w:tcBorders>
          </w:tcPr>
          <w:p w14:paraId="2149E915"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82.82***</w:t>
            </w:r>
          </w:p>
        </w:tc>
        <w:tc>
          <w:tcPr>
            <w:tcW w:w="0" w:type="auto"/>
            <w:tcBorders>
              <w:top w:val="nil"/>
              <w:left w:val="nil"/>
              <w:bottom w:val="nil"/>
              <w:right w:val="nil"/>
            </w:tcBorders>
          </w:tcPr>
          <w:p w14:paraId="2B7F8261"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-22.68</w:t>
            </w:r>
          </w:p>
        </w:tc>
        <w:tc>
          <w:tcPr>
            <w:tcW w:w="0" w:type="auto"/>
            <w:tcBorders>
              <w:top w:val="nil"/>
              <w:left w:val="nil"/>
              <w:bottom w:val="nil"/>
              <w:right w:val="nil"/>
            </w:tcBorders>
          </w:tcPr>
          <w:p w14:paraId="55B97C1C"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96.23***</w:t>
            </w:r>
          </w:p>
        </w:tc>
        <w:tc>
          <w:tcPr>
            <w:tcW w:w="0" w:type="auto"/>
            <w:tcBorders>
              <w:top w:val="nil"/>
              <w:left w:val="nil"/>
              <w:bottom w:val="nil"/>
              <w:right w:val="nil"/>
            </w:tcBorders>
          </w:tcPr>
          <w:p w14:paraId="47DB12D7"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-16.93</w:t>
            </w:r>
          </w:p>
        </w:tc>
        <w:tc>
          <w:tcPr>
            <w:tcW w:w="0" w:type="auto"/>
            <w:tcBorders>
              <w:top w:val="nil"/>
              <w:left w:val="nil"/>
              <w:bottom w:val="nil"/>
              <w:right w:val="nil"/>
            </w:tcBorders>
          </w:tcPr>
          <w:p w14:paraId="3A6EA5B0"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96.12***</w:t>
            </w:r>
          </w:p>
        </w:tc>
        <w:tc>
          <w:tcPr>
            <w:tcW w:w="0" w:type="auto"/>
            <w:tcBorders>
              <w:top w:val="nil"/>
              <w:left w:val="nil"/>
              <w:bottom w:val="nil"/>
              <w:right w:val="nil"/>
            </w:tcBorders>
          </w:tcPr>
          <w:p w14:paraId="41D713C6"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-20.02</w:t>
            </w:r>
          </w:p>
        </w:tc>
      </w:tr>
      <w:tr w:rsidR="00315077" w:rsidRPr="009B5B20" w14:paraId="5B19DEEF" w14:textId="77777777" w:rsidTr="00315077">
        <w:trPr>
          <w:jc w:val="center"/>
        </w:trPr>
        <w:tc>
          <w:tcPr>
            <w:tcW w:w="0" w:type="auto"/>
            <w:tcBorders>
              <w:top w:val="nil"/>
              <w:left w:val="nil"/>
              <w:bottom w:val="nil"/>
              <w:right w:val="nil"/>
            </w:tcBorders>
          </w:tcPr>
          <w:p w14:paraId="716211AF" w14:textId="77777777" w:rsidR="00315077" w:rsidRPr="009B5B20" w:rsidRDefault="00315077" w:rsidP="00315077">
            <w:pPr>
              <w:widowControl w:val="0"/>
              <w:autoSpaceDE w:val="0"/>
              <w:autoSpaceDN w:val="0"/>
              <w:adjustRightInd w:val="0"/>
              <w:rPr>
                <w:sz w:val="20"/>
                <w:szCs w:val="20"/>
              </w:rPr>
            </w:pPr>
          </w:p>
        </w:tc>
        <w:tc>
          <w:tcPr>
            <w:tcW w:w="0" w:type="auto"/>
            <w:tcBorders>
              <w:top w:val="nil"/>
              <w:left w:val="nil"/>
              <w:bottom w:val="nil"/>
              <w:right w:val="nil"/>
            </w:tcBorders>
          </w:tcPr>
          <w:p w14:paraId="5A4D5B63"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(16.79)</w:t>
            </w:r>
          </w:p>
        </w:tc>
        <w:tc>
          <w:tcPr>
            <w:tcW w:w="0" w:type="auto"/>
            <w:tcBorders>
              <w:top w:val="nil"/>
              <w:left w:val="nil"/>
              <w:bottom w:val="nil"/>
              <w:right w:val="nil"/>
            </w:tcBorders>
          </w:tcPr>
          <w:p w14:paraId="64B7C5B2"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(16.20)</w:t>
            </w:r>
          </w:p>
        </w:tc>
        <w:tc>
          <w:tcPr>
            <w:tcW w:w="0" w:type="auto"/>
            <w:tcBorders>
              <w:top w:val="nil"/>
              <w:left w:val="nil"/>
              <w:bottom w:val="nil"/>
              <w:right w:val="nil"/>
            </w:tcBorders>
          </w:tcPr>
          <w:p w14:paraId="79282A9B"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(19.34)</w:t>
            </w:r>
          </w:p>
        </w:tc>
        <w:tc>
          <w:tcPr>
            <w:tcW w:w="0" w:type="auto"/>
            <w:tcBorders>
              <w:top w:val="nil"/>
              <w:left w:val="nil"/>
              <w:bottom w:val="nil"/>
              <w:right w:val="nil"/>
            </w:tcBorders>
          </w:tcPr>
          <w:p w14:paraId="14F7808F"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(16.72)</w:t>
            </w:r>
          </w:p>
        </w:tc>
        <w:tc>
          <w:tcPr>
            <w:tcW w:w="0" w:type="auto"/>
            <w:tcBorders>
              <w:top w:val="nil"/>
              <w:left w:val="nil"/>
              <w:bottom w:val="nil"/>
              <w:right w:val="nil"/>
            </w:tcBorders>
          </w:tcPr>
          <w:p w14:paraId="760BB85A"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(16.07)</w:t>
            </w:r>
          </w:p>
        </w:tc>
        <w:tc>
          <w:tcPr>
            <w:tcW w:w="0" w:type="auto"/>
            <w:tcBorders>
              <w:top w:val="nil"/>
              <w:left w:val="nil"/>
              <w:bottom w:val="nil"/>
              <w:right w:val="nil"/>
            </w:tcBorders>
          </w:tcPr>
          <w:p w14:paraId="3AAC3CB2"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(16.12)</w:t>
            </w:r>
          </w:p>
        </w:tc>
        <w:tc>
          <w:tcPr>
            <w:tcW w:w="0" w:type="auto"/>
            <w:tcBorders>
              <w:top w:val="nil"/>
              <w:left w:val="nil"/>
              <w:bottom w:val="nil"/>
              <w:right w:val="nil"/>
            </w:tcBorders>
          </w:tcPr>
          <w:p w14:paraId="7CA156FF"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(18.84)</w:t>
            </w:r>
          </w:p>
        </w:tc>
        <w:tc>
          <w:tcPr>
            <w:tcW w:w="0" w:type="auto"/>
            <w:tcBorders>
              <w:top w:val="nil"/>
              <w:left w:val="nil"/>
              <w:bottom w:val="nil"/>
              <w:right w:val="nil"/>
            </w:tcBorders>
          </w:tcPr>
          <w:p w14:paraId="549368C6"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(16.74)</w:t>
            </w:r>
          </w:p>
        </w:tc>
        <w:tc>
          <w:tcPr>
            <w:tcW w:w="0" w:type="auto"/>
            <w:tcBorders>
              <w:top w:val="nil"/>
              <w:left w:val="nil"/>
              <w:bottom w:val="nil"/>
              <w:right w:val="nil"/>
            </w:tcBorders>
          </w:tcPr>
          <w:p w14:paraId="362762C0"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(18.99)</w:t>
            </w:r>
          </w:p>
        </w:tc>
        <w:tc>
          <w:tcPr>
            <w:tcW w:w="0" w:type="auto"/>
            <w:tcBorders>
              <w:top w:val="nil"/>
              <w:left w:val="nil"/>
              <w:bottom w:val="nil"/>
              <w:right w:val="nil"/>
            </w:tcBorders>
          </w:tcPr>
          <w:p w14:paraId="20042C07"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(18.08)</w:t>
            </w:r>
          </w:p>
        </w:tc>
      </w:tr>
      <w:tr w:rsidR="00315077" w:rsidRPr="009B5B20" w14:paraId="2E7AEB72" w14:textId="77777777" w:rsidTr="00315077">
        <w:trPr>
          <w:jc w:val="center"/>
        </w:trPr>
        <w:tc>
          <w:tcPr>
            <w:tcW w:w="0" w:type="auto"/>
            <w:tcBorders>
              <w:top w:val="nil"/>
              <w:left w:val="nil"/>
              <w:bottom w:val="nil"/>
              <w:right w:val="nil"/>
            </w:tcBorders>
          </w:tcPr>
          <w:p w14:paraId="0A8A613A" w14:textId="77777777" w:rsidR="00315077" w:rsidRPr="009B5B20" w:rsidRDefault="00315077" w:rsidP="00315077">
            <w:pPr>
              <w:widowControl w:val="0"/>
              <w:autoSpaceDE w:val="0"/>
              <w:autoSpaceDN w:val="0"/>
              <w:adjustRightInd w:val="0"/>
              <w:rPr>
                <w:sz w:val="20"/>
                <w:szCs w:val="20"/>
              </w:rPr>
            </w:pPr>
          </w:p>
        </w:tc>
        <w:tc>
          <w:tcPr>
            <w:tcW w:w="0" w:type="auto"/>
            <w:tcBorders>
              <w:top w:val="nil"/>
              <w:left w:val="nil"/>
              <w:bottom w:val="nil"/>
              <w:right w:val="nil"/>
            </w:tcBorders>
          </w:tcPr>
          <w:p w14:paraId="79C09ED8"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6D9ACE2F"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66E4DBE1"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74D43BD9"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0D08F05E"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2AF9F56E"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5249480A"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605D819F"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7E42905E" w14:textId="77777777" w:rsidR="00315077" w:rsidRPr="009B5B20"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5AA95DA8" w14:textId="77777777" w:rsidR="00315077" w:rsidRPr="009B5B20" w:rsidRDefault="00315077" w:rsidP="00315077">
            <w:pPr>
              <w:widowControl w:val="0"/>
              <w:autoSpaceDE w:val="0"/>
              <w:autoSpaceDN w:val="0"/>
              <w:adjustRightInd w:val="0"/>
              <w:jc w:val="center"/>
              <w:rPr>
                <w:sz w:val="20"/>
                <w:szCs w:val="20"/>
              </w:rPr>
            </w:pPr>
          </w:p>
        </w:tc>
      </w:tr>
      <w:tr w:rsidR="00315077" w:rsidRPr="009B5B20" w14:paraId="79319CC7" w14:textId="77777777" w:rsidTr="00315077">
        <w:trPr>
          <w:jc w:val="center"/>
        </w:trPr>
        <w:tc>
          <w:tcPr>
            <w:tcW w:w="0" w:type="auto"/>
            <w:tcBorders>
              <w:top w:val="nil"/>
              <w:left w:val="nil"/>
              <w:bottom w:val="nil"/>
              <w:right w:val="nil"/>
            </w:tcBorders>
          </w:tcPr>
          <w:p w14:paraId="3CA74018" w14:textId="77777777" w:rsidR="00315077" w:rsidRPr="009B5B20" w:rsidRDefault="00315077" w:rsidP="00315077">
            <w:pPr>
              <w:widowControl w:val="0"/>
              <w:autoSpaceDE w:val="0"/>
              <w:autoSpaceDN w:val="0"/>
              <w:adjustRightInd w:val="0"/>
              <w:rPr>
                <w:sz w:val="20"/>
                <w:szCs w:val="20"/>
              </w:rPr>
            </w:pPr>
            <w:r w:rsidRPr="009B5B20">
              <w:rPr>
                <w:sz w:val="20"/>
                <w:szCs w:val="20"/>
              </w:rPr>
              <w:t>Observations</w:t>
            </w:r>
          </w:p>
        </w:tc>
        <w:tc>
          <w:tcPr>
            <w:tcW w:w="0" w:type="auto"/>
            <w:tcBorders>
              <w:top w:val="nil"/>
              <w:left w:val="nil"/>
              <w:bottom w:val="nil"/>
              <w:right w:val="nil"/>
            </w:tcBorders>
          </w:tcPr>
          <w:p w14:paraId="77529DBA"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1,044</w:t>
            </w:r>
          </w:p>
        </w:tc>
        <w:tc>
          <w:tcPr>
            <w:tcW w:w="0" w:type="auto"/>
            <w:tcBorders>
              <w:top w:val="nil"/>
              <w:left w:val="nil"/>
              <w:bottom w:val="nil"/>
              <w:right w:val="nil"/>
            </w:tcBorders>
          </w:tcPr>
          <w:p w14:paraId="3779CD93"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1,044</w:t>
            </w:r>
          </w:p>
        </w:tc>
        <w:tc>
          <w:tcPr>
            <w:tcW w:w="0" w:type="auto"/>
            <w:tcBorders>
              <w:top w:val="nil"/>
              <w:left w:val="nil"/>
              <w:bottom w:val="nil"/>
              <w:right w:val="nil"/>
            </w:tcBorders>
          </w:tcPr>
          <w:p w14:paraId="56D0548C"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825</w:t>
            </w:r>
          </w:p>
        </w:tc>
        <w:tc>
          <w:tcPr>
            <w:tcW w:w="0" w:type="auto"/>
            <w:tcBorders>
              <w:top w:val="nil"/>
              <w:left w:val="nil"/>
              <w:bottom w:val="nil"/>
              <w:right w:val="nil"/>
            </w:tcBorders>
          </w:tcPr>
          <w:p w14:paraId="11485807"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825</w:t>
            </w:r>
          </w:p>
        </w:tc>
        <w:tc>
          <w:tcPr>
            <w:tcW w:w="0" w:type="auto"/>
            <w:tcBorders>
              <w:top w:val="nil"/>
              <w:left w:val="nil"/>
              <w:bottom w:val="nil"/>
              <w:right w:val="nil"/>
            </w:tcBorders>
          </w:tcPr>
          <w:p w14:paraId="1F65BDDE"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1,044</w:t>
            </w:r>
          </w:p>
        </w:tc>
        <w:tc>
          <w:tcPr>
            <w:tcW w:w="0" w:type="auto"/>
            <w:tcBorders>
              <w:top w:val="nil"/>
              <w:left w:val="nil"/>
              <w:bottom w:val="nil"/>
              <w:right w:val="nil"/>
            </w:tcBorders>
          </w:tcPr>
          <w:p w14:paraId="1D319F67"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1,044</w:t>
            </w:r>
          </w:p>
        </w:tc>
        <w:tc>
          <w:tcPr>
            <w:tcW w:w="0" w:type="auto"/>
            <w:tcBorders>
              <w:top w:val="nil"/>
              <w:left w:val="nil"/>
              <w:bottom w:val="nil"/>
              <w:right w:val="nil"/>
            </w:tcBorders>
          </w:tcPr>
          <w:p w14:paraId="13BCFD46"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825</w:t>
            </w:r>
          </w:p>
        </w:tc>
        <w:tc>
          <w:tcPr>
            <w:tcW w:w="0" w:type="auto"/>
            <w:tcBorders>
              <w:top w:val="nil"/>
              <w:left w:val="nil"/>
              <w:bottom w:val="nil"/>
              <w:right w:val="nil"/>
            </w:tcBorders>
          </w:tcPr>
          <w:p w14:paraId="544D2B83"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825</w:t>
            </w:r>
          </w:p>
        </w:tc>
        <w:tc>
          <w:tcPr>
            <w:tcW w:w="0" w:type="auto"/>
            <w:tcBorders>
              <w:top w:val="nil"/>
              <w:left w:val="nil"/>
              <w:bottom w:val="nil"/>
              <w:right w:val="nil"/>
            </w:tcBorders>
          </w:tcPr>
          <w:p w14:paraId="2F8B2C90"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825</w:t>
            </w:r>
          </w:p>
        </w:tc>
        <w:tc>
          <w:tcPr>
            <w:tcW w:w="0" w:type="auto"/>
            <w:tcBorders>
              <w:top w:val="nil"/>
              <w:left w:val="nil"/>
              <w:bottom w:val="nil"/>
              <w:right w:val="nil"/>
            </w:tcBorders>
          </w:tcPr>
          <w:p w14:paraId="09396057"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825</w:t>
            </w:r>
          </w:p>
        </w:tc>
      </w:tr>
      <w:tr w:rsidR="00315077" w:rsidRPr="009B5B20" w14:paraId="4B13CC7B" w14:textId="77777777" w:rsidTr="00315077">
        <w:tblPrEx>
          <w:tblBorders>
            <w:bottom w:val="single" w:sz="6" w:space="0" w:color="auto"/>
          </w:tblBorders>
        </w:tblPrEx>
        <w:trPr>
          <w:jc w:val="center"/>
        </w:trPr>
        <w:tc>
          <w:tcPr>
            <w:tcW w:w="0" w:type="auto"/>
            <w:tcBorders>
              <w:top w:val="nil"/>
              <w:left w:val="nil"/>
              <w:bottom w:val="single" w:sz="6" w:space="0" w:color="auto"/>
              <w:right w:val="nil"/>
            </w:tcBorders>
          </w:tcPr>
          <w:p w14:paraId="7F5880D1" w14:textId="77777777" w:rsidR="00315077" w:rsidRPr="009B5B20" w:rsidRDefault="00315077" w:rsidP="00315077">
            <w:pPr>
              <w:widowControl w:val="0"/>
              <w:autoSpaceDE w:val="0"/>
              <w:autoSpaceDN w:val="0"/>
              <w:adjustRightInd w:val="0"/>
              <w:rPr>
                <w:sz w:val="20"/>
                <w:szCs w:val="20"/>
              </w:rPr>
            </w:pPr>
            <w:r w:rsidRPr="009B5B20">
              <w:rPr>
                <w:sz w:val="20"/>
                <w:szCs w:val="20"/>
              </w:rPr>
              <w:t>Pseudo R2</w:t>
            </w:r>
          </w:p>
        </w:tc>
        <w:tc>
          <w:tcPr>
            <w:tcW w:w="0" w:type="auto"/>
            <w:tcBorders>
              <w:top w:val="nil"/>
              <w:left w:val="nil"/>
              <w:bottom w:val="single" w:sz="6" w:space="0" w:color="auto"/>
              <w:right w:val="nil"/>
            </w:tcBorders>
          </w:tcPr>
          <w:p w14:paraId="0152BBF4"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0.332</w:t>
            </w:r>
          </w:p>
        </w:tc>
        <w:tc>
          <w:tcPr>
            <w:tcW w:w="0" w:type="auto"/>
            <w:tcBorders>
              <w:top w:val="nil"/>
              <w:left w:val="nil"/>
              <w:bottom w:val="single" w:sz="6" w:space="0" w:color="auto"/>
              <w:right w:val="nil"/>
            </w:tcBorders>
          </w:tcPr>
          <w:p w14:paraId="5E013404"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0.332</w:t>
            </w:r>
          </w:p>
        </w:tc>
        <w:tc>
          <w:tcPr>
            <w:tcW w:w="0" w:type="auto"/>
            <w:tcBorders>
              <w:top w:val="nil"/>
              <w:left w:val="nil"/>
              <w:bottom w:val="single" w:sz="6" w:space="0" w:color="auto"/>
              <w:right w:val="nil"/>
            </w:tcBorders>
          </w:tcPr>
          <w:p w14:paraId="6F355604"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0.337</w:t>
            </w:r>
          </w:p>
        </w:tc>
        <w:tc>
          <w:tcPr>
            <w:tcW w:w="0" w:type="auto"/>
            <w:tcBorders>
              <w:top w:val="nil"/>
              <w:left w:val="nil"/>
              <w:bottom w:val="single" w:sz="6" w:space="0" w:color="auto"/>
              <w:right w:val="nil"/>
            </w:tcBorders>
          </w:tcPr>
          <w:p w14:paraId="6C31D794"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0.337</w:t>
            </w:r>
          </w:p>
        </w:tc>
        <w:tc>
          <w:tcPr>
            <w:tcW w:w="0" w:type="auto"/>
            <w:tcBorders>
              <w:top w:val="nil"/>
              <w:left w:val="nil"/>
              <w:bottom w:val="single" w:sz="6" w:space="0" w:color="auto"/>
              <w:right w:val="nil"/>
            </w:tcBorders>
          </w:tcPr>
          <w:p w14:paraId="4F2839FB"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0.338</w:t>
            </w:r>
          </w:p>
        </w:tc>
        <w:tc>
          <w:tcPr>
            <w:tcW w:w="0" w:type="auto"/>
            <w:tcBorders>
              <w:top w:val="nil"/>
              <w:left w:val="nil"/>
              <w:bottom w:val="single" w:sz="6" w:space="0" w:color="auto"/>
              <w:right w:val="nil"/>
            </w:tcBorders>
          </w:tcPr>
          <w:p w14:paraId="55453DB4"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0.338</w:t>
            </w:r>
          </w:p>
        </w:tc>
        <w:tc>
          <w:tcPr>
            <w:tcW w:w="0" w:type="auto"/>
            <w:tcBorders>
              <w:top w:val="nil"/>
              <w:left w:val="nil"/>
              <w:bottom w:val="single" w:sz="6" w:space="0" w:color="auto"/>
              <w:right w:val="nil"/>
            </w:tcBorders>
          </w:tcPr>
          <w:p w14:paraId="5C5D1554"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0.341</w:t>
            </w:r>
          </w:p>
        </w:tc>
        <w:tc>
          <w:tcPr>
            <w:tcW w:w="0" w:type="auto"/>
            <w:tcBorders>
              <w:top w:val="nil"/>
              <w:left w:val="nil"/>
              <w:bottom w:val="single" w:sz="6" w:space="0" w:color="auto"/>
              <w:right w:val="nil"/>
            </w:tcBorders>
          </w:tcPr>
          <w:p w14:paraId="7A0829C7"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0.341</w:t>
            </w:r>
          </w:p>
        </w:tc>
        <w:tc>
          <w:tcPr>
            <w:tcW w:w="0" w:type="auto"/>
            <w:tcBorders>
              <w:top w:val="nil"/>
              <w:left w:val="nil"/>
              <w:bottom w:val="single" w:sz="6" w:space="0" w:color="auto"/>
              <w:right w:val="nil"/>
            </w:tcBorders>
          </w:tcPr>
          <w:p w14:paraId="2637B792"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0.334</w:t>
            </w:r>
          </w:p>
        </w:tc>
        <w:tc>
          <w:tcPr>
            <w:tcW w:w="0" w:type="auto"/>
            <w:tcBorders>
              <w:top w:val="nil"/>
              <w:left w:val="nil"/>
              <w:bottom w:val="single" w:sz="6" w:space="0" w:color="auto"/>
              <w:right w:val="nil"/>
            </w:tcBorders>
          </w:tcPr>
          <w:p w14:paraId="428A34AE" w14:textId="77777777" w:rsidR="00315077" w:rsidRPr="009B5B20" w:rsidRDefault="00315077" w:rsidP="00315077">
            <w:pPr>
              <w:widowControl w:val="0"/>
              <w:autoSpaceDE w:val="0"/>
              <w:autoSpaceDN w:val="0"/>
              <w:adjustRightInd w:val="0"/>
              <w:jc w:val="center"/>
              <w:rPr>
                <w:sz w:val="20"/>
                <w:szCs w:val="20"/>
              </w:rPr>
            </w:pPr>
            <w:r w:rsidRPr="009B5B20">
              <w:rPr>
                <w:sz w:val="20"/>
                <w:szCs w:val="20"/>
              </w:rPr>
              <w:t>0.334</w:t>
            </w:r>
          </w:p>
        </w:tc>
      </w:tr>
    </w:tbl>
    <w:p w14:paraId="51985948" w14:textId="77777777" w:rsidR="00315077" w:rsidRPr="00971912" w:rsidRDefault="00315077" w:rsidP="00315077">
      <w:pPr>
        <w:widowControl w:val="0"/>
        <w:autoSpaceDE w:val="0"/>
        <w:autoSpaceDN w:val="0"/>
        <w:adjustRightInd w:val="0"/>
        <w:jc w:val="center"/>
        <w:rPr>
          <w:sz w:val="20"/>
          <w:szCs w:val="20"/>
        </w:rPr>
      </w:pPr>
      <w:r w:rsidRPr="00971912">
        <w:rPr>
          <w:sz w:val="20"/>
          <w:szCs w:val="20"/>
        </w:rPr>
        <w:t>Robust standard errors in parentheses</w:t>
      </w:r>
    </w:p>
    <w:p w14:paraId="5CA60DC0" w14:textId="77777777" w:rsidR="00315077" w:rsidRPr="00971912" w:rsidRDefault="00315077" w:rsidP="00315077">
      <w:pPr>
        <w:widowControl w:val="0"/>
        <w:autoSpaceDE w:val="0"/>
        <w:autoSpaceDN w:val="0"/>
        <w:adjustRightInd w:val="0"/>
        <w:jc w:val="center"/>
        <w:rPr>
          <w:sz w:val="20"/>
          <w:szCs w:val="20"/>
        </w:rPr>
      </w:pPr>
      <w:r w:rsidRPr="00971912">
        <w:rPr>
          <w:sz w:val="20"/>
          <w:szCs w:val="20"/>
        </w:rPr>
        <w:t>*** p&lt;0.01, ** p&lt;0.05, * p&lt;0.1</w:t>
      </w:r>
    </w:p>
    <w:p w14:paraId="696A5C7C" w14:textId="77777777" w:rsidR="00315077" w:rsidRPr="00971912" w:rsidRDefault="00315077" w:rsidP="00315077">
      <w:pPr>
        <w:widowControl w:val="0"/>
        <w:autoSpaceDE w:val="0"/>
        <w:autoSpaceDN w:val="0"/>
        <w:adjustRightInd w:val="0"/>
        <w:jc w:val="center"/>
        <w:rPr>
          <w:sz w:val="20"/>
          <w:szCs w:val="20"/>
        </w:rPr>
      </w:pPr>
      <w:r w:rsidRPr="00971912">
        <w:rPr>
          <w:sz w:val="20"/>
          <w:szCs w:val="20"/>
        </w:rPr>
        <w:t>Models with ROA include foreign exchange indicator for data source and industry fixed effects.</w:t>
      </w:r>
    </w:p>
    <w:p w14:paraId="306AE3CE" w14:textId="77777777" w:rsidR="00315077" w:rsidRPr="003E4B63" w:rsidRDefault="00315077" w:rsidP="00315077">
      <w:r w:rsidRPr="003E4B63">
        <w:br w:type="page"/>
      </w:r>
    </w:p>
    <w:p w14:paraId="3E6C3918" w14:textId="113A8E59" w:rsidR="00315077" w:rsidRPr="00127C2E" w:rsidRDefault="00315077" w:rsidP="00127C2E">
      <w:pPr>
        <w:widowControl w:val="0"/>
        <w:autoSpaceDE w:val="0"/>
        <w:autoSpaceDN w:val="0"/>
        <w:adjustRightInd w:val="0"/>
        <w:jc w:val="center"/>
        <w:rPr>
          <w:b/>
          <w:bCs/>
        </w:rPr>
      </w:pPr>
      <w:r w:rsidRPr="00127C2E">
        <w:rPr>
          <w:b/>
          <w:bCs/>
        </w:rPr>
        <w:lastRenderedPageBreak/>
        <w:t>Table A7</w:t>
      </w:r>
      <w:r w:rsidR="00127C2E" w:rsidRPr="00127C2E">
        <w:rPr>
          <w:b/>
          <w:bCs/>
        </w:rPr>
        <w:t xml:space="preserve">: </w:t>
      </w:r>
      <w:r w:rsidRPr="00127C2E">
        <w:rPr>
          <w:b/>
          <w:bCs/>
        </w:rPr>
        <w:t>Multinomial Connections Models of Exit, Stay in SOE, or Transfer to Government</w:t>
      </w:r>
    </w:p>
    <w:p w14:paraId="58D72229" w14:textId="77777777" w:rsidR="00315077" w:rsidRPr="004E7CD4" w:rsidRDefault="00315077" w:rsidP="00315077">
      <w:pPr>
        <w:widowControl w:val="0"/>
        <w:autoSpaceDE w:val="0"/>
        <w:autoSpaceDN w:val="0"/>
        <w:adjustRightInd w:val="0"/>
        <w:jc w:val="center"/>
        <w:rPr>
          <w:rFonts w:asciiTheme="minorHAnsi" w:hAnsiTheme="minorHAnsi"/>
        </w:rPr>
      </w:pPr>
      <w:r>
        <w:rPr>
          <w:rFonts w:asciiTheme="minorHAnsi" w:hAnsiTheme="minorHAnsi"/>
        </w:rPr>
        <w:t xml:space="preserve"> </w:t>
      </w:r>
    </w:p>
    <w:tbl>
      <w:tblPr>
        <w:tblW w:w="0" w:type="auto"/>
        <w:jc w:val="center"/>
        <w:tblCellMar>
          <w:left w:w="75" w:type="dxa"/>
          <w:right w:w="75" w:type="dxa"/>
        </w:tblCellMar>
        <w:tblLook w:val="0000" w:firstRow="0" w:lastRow="0" w:firstColumn="0" w:lastColumn="0" w:noHBand="0" w:noVBand="0"/>
      </w:tblPr>
      <w:tblGrid>
        <w:gridCol w:w="2267"/>
        <w:gridCol w:w="1000"/>
        <w:gridCol w:w="934"/>
        <w:gridCol w:w="1000"/>
        <w:gridCol w:w="934"/>
        <w:gridCol w:w="1000"/>
        <w:gridCol w:w="934"/>
        <w:gridCol w:w="1000"/>
        <w:gridCol w:w="934"/>
      </w:tblGrid>
      <w:tr w:rsidR="00315077" w:rsidRPr="001A001A" w14:paraId="47743810" w14:textId="77777777" w:rsidTr="00315077">
        <w:trPr>
          <w:jc w:val="center"/>
        </w:trPr>
        <w:tc>
          <w:tcPr>
            <w:tcW w:w="0" w:type="auto"/>
            <w:tcBorders>
              <w:top w:val="single" w:sz="6" w:space="0" w:color="auto"/>
              <w:left w:val="nil"/>
              <w:bottom w:val="nil"/>
              <w:right w:val="nil"/>
            </w:tcBorders>
          </w:tcPr>
          <w:p w14:paraId="504673EF" w14:textId="77777777" w:rsidR="00315077" w:rsidRPr="001A001A" w:rsidRDefault="00315077" w:rsidP="00315077">
            <w:pPr>
              <w:widowControl w:val="0"/>
              <w:autoSpaceDE w:val="0"/>
              <w:autoSpaceDN w:val="0"/>
              <w:adjustRightInd w:val="0"/>
              <w:rPr>
                <w:sz w:val="20"/>
                <w:szCs w:val="20"/>
              </w:rPr>
            </w:pPr>
          </w:p>
        </w:tc>
        <w:tc>
          <w:tcPr>
            <w:tcW w:w="0" w:type="auto"/>
            <w:tcBorders>
              <w:top w:val="single" w:sz="6" w:space="0" w:color="auto"/>
              <w:left w:val="nil"/>
              <w:bottom w:val="nil"/>
              <w:right w:val="nil"/>
            </w:tcBorders>
          </w:tcPr>
          <w:p w14:paraId="39DA6706"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(1)</w:t>
            </w:r>
          </w:p>
        </w:tc>
        <w:tc>
          <w:tcPr>
            <w:tcW w:w="0" w:type="auto"/>
            <w:tcBorders>
              <w:top w:val="single" w:sz="6" w:space="0" w:color="auto"/>
              <w:left w:val="nil"/>
              <w:bottom w:val="nil"/>
              <w:right w:val="nil"/>
            </w:tcBorders>
          </w:tcPr>
          <w:p w14:paraId="0AAF2ACC"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(3)</w:t>
            </w:r>
          </w:p>
        </w:tc>
        <w:tc>
          <w:tcPr>
            <w:tcW w:w="0" w:type="auto"/>
            <w:tcBorders>
              <w:top w:val="single" w:sz="6" w:space="0" w:color="auto"/>
              <w:left w:val="nil"/>
              <w:bottom w:val="nil"/>
              <w:right w:val="nil"/>
            </w:tcBorders>
          </w:tcPr>
          <w:p w14:paraId="7D0990DF"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(4)</w:t>
            </w:r>
          </w:p>
        </w:tc>
        <w:tc>
          <w:tcPr>
            <w:tcW w:w="0" w:type="auto"/>
            <w:tcBorders>
              <w:top w:val="single" w:sz="6" w:space="0" w:color="auto"/>
              <w:left w:val="nil"/>
              <w:bottom w:val="nil"/>
              <w:right w:val="nil"/>
            </w:tcBorders>
          </w:tcPr>
          <w:p w14:paraId="7307C720"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(6)</w:t>
            </w:r>
          </w:p>
        </w:tc>
        <w:tc>
          <w:tcPr>
            <w:tcW w:w="0" w:type="auto"/>
            <w:tcBorders>
              <w:top w:val="single" w:sz="6" w:space="0" w:color="auto"/>
              <w:left w:val="nil"/>
              <w:bottom w:val="nil"/>
              <w:right w:val="nil"/>
            </w:tcBorders>
          </w:tcPr>
          <w:p w14:paraId="0C6F0A3E"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(7)</w:t>
            </w:r>
          </w:p>
        </w:tc>
        <w:tc>
          <w:tcPr>
            <w:tcW w:w="0" w:type="auto"/>
            <w:tcBorders>
              <w:top w:val="single" w:sz="6" w:space="0" w:color="auto"/>
              <w:left w:val="nil"/>
              <w:bottom w:val="nil"/>
              <w:right w:val="nil"/>
            </w:tcBorders>
          </w:tcPr>
          <w:p w14:paraId="1AE8AA7E"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(9)</w:t>
            </w:r>
          </w:p>
        </w:tc>
        <w:tc>
          <w:tcPr>
            <w:tcW w:w="0" w:type="auto"/>
            <w:tcBorders>
              <w:top w:val="single" w:sz="6" w:space="0" w:color="auto"/>
              <w:left w:val="nil"/>
              <w:bottom w:val="nil"/>
              <w:right w:val="nil"/>
            </w:tcBorders>
          </w:tcPr>
          <w:p w14:paraId="6AE15F90"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(10)</w:t>
            </w:r>
          </w:p>
        </w:tc>
        <w:tc>
          <w:tcPr>
            <w:tcW w:w="0" w:type="auto"/>
            <w:tcBorders>
              <w:top w:val="single" w:sz="6" w:space="0" w:color="auto"/>
              <w:left w:val="nil"/>
              <w:bottom w:val="nil"/>
              <w:right w:val="nil"/>
            </w:tcBorders>
          </w:tcPr>
          <w:p w14:paraId="631C1591"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(12)</w:t>
            </w:r>
          </w:p>
        </w:tc>
      </w:tr>
      <w:tr w:rsidR="00315077" w:rsidRPr="001A001A" w14:paraId="514E3C0E" w14:textId="77777777" w:rsidTr="00315077">
        <w:trPr>
          <w:jc w:val="center"/>
        </w:trPr>
        <w:tc>
          <w:tcPr>
            <w:tcW w:w="0" w:type="auto"/>
            <w:tcBorders>
              <w:top w:val="nil"/>
              <w:left w:val="nil"/>
              <w:bottom w:val="single" w:sz="6" w:space="0" w:color="auto"/>
              <w:right w:val="nil"/>
            </w:tcBorders>
          </w:tcPr>
          <w:p w14:paraId="5097963A" w14:textId="77777777" w:rsidR="00315077" w:rsidRPr="001A001A" w:rsidRDefault="00315077" w:rsidP="00315077">
            <w:pPr>
              <w:widowControl w:val="0"/>
              <w:autoSpaceDE w:val="0"/>
              <w:autoSpaceDN w:val="0"/>
              <w:adjustRightInd w:val="0"/>
              <w:rPr>
                <w:sz w:val="20"/>
                <w:szCs w:val="20"/>
              </w:rPr>
            </w:pPr>
            <w:r w:rsidRPr="001A001A">
              <w:rPr>
                <w:sz w:val="20"/>
                <w:szCs w:val="20"/>
              </w:rPr>
              <w:t>VARIABLES</w:t>
            </w:r>
          </w:p>
        </w:tc>
        <w:tc>
          <w:tcPr>
            <w:tcW w:w="0" w:type="auto"/>
            <w:tcBorders>
              <w:top w:val="nil"/>
              <w:left w:val="nil"/>
              <w:bottom w:val="single" w:sz="6" w:space="0" w:color="auto"/>
              <w:right w:val="nil"/>
            </w:tcBorders>
          </w:tcPr>
          <w:p w14:paraId="626B15CC" w14:textId="77777777" w:rsidR="00315077" w:rsidRPr="001A001A" w:rsidRDefault="00315077" w:rsidP="00315077">
            <w:pPr>
              <w:widowControl w:val="0"/>
              <w:autoSpaceDE w:val="0"/>
              <w:autoSpaceDN w:val="0"/>
              <w:adjustRightInd w:val="0"/>
              <w:jc w:val="center"/>
              <w:rPr>
                <w:sz w:val="20"/>
                <w:szCs w:val="20"/>
              </w:rPr>
            </w:pPr>
            <w:r>
              <w:rPr>
                <w:sz w:val="20"/>
                <w:szCs w:val="20"/>
              </w:rPr>
              <w:t>Exit</w:t>
            </w:r>
          </w:p>
        </w:tc>
        <w:tc>
          <w:tcPr>
            <w:tcW w:w="0" w:type="auto"/>
            <w:tcBorders>
              <w:top w:val="nil"/>
              <w:left w:val="nil"/>
              <w:bottom w:val="single" w:sz="6" w:space="0" w:color="auto"/>
              <w:right w:val="nil"/>
            </w:tcBorders>
          </w:tcPr>
          <w:p w14:paraId="41300E13" w14:textId="77777777" w:rsidR="00315077" w:rsidRPr="001A001A" w:rsidRDefault="00315077" w:rsidP="00315077">
            <w:pPr>
              <w:widowControl w:val="0"/>
              <w:autoSpaceDE w:val="0"/>
              <w:autoSpaceDN w:val="0"/>
              <w:adjustRightInd w:val="0"/>
              <w:jc w:val="center"/>
              <w:rPr>
                <w:sz w:val="20"/>
                <w:szCs w:val="20"/>
              </w:rPr>
            </w:pPr>
            <w:r>
              <w:rPr>
                <w:sz w:val="20"/>
                <w:szCs w:val="20"/>
              </w:rPr>
              <w:t>Gov’t</w:t>
            </w:r>
          </w:p>
        </w:tc>
        <w:tc>
          <w:tcPr>
            <w:tcW w:w="0" w:type="auto"/>
            <w:tcBorders>
              <w:top w:val="nil"/>
              <w:left w:val="nil"/>
              <w:bottom w:val="single" w:sz="6" w:space="0" w:color="auto"/>
              <w:right w:val="nil"/>
            </w:tcBorders>
          </w:tcPr>
          <w:p w14:paraId="6B98B602" w14:textId="77777777" w:rsidR="00315077" w:rsidRPr="001A001A" w:rsidRDefault="00315077" w:rsidP="00315077">
            <w:pPr>
              <w:widowControl w:val="0"/>
              <w:autoSpaceDE w:val="0"/>
              <w:autoSpaceDN w:val="0"/>
              <w:adjustRightInd w:val="0"/>
              <w:jc w:val="center"/>
              <w:rPr>
                <w:sz w:val="20"/>
                <w:szCs w:val="20"/>
              </w:rPr>
            </w:pPr>
            <w:r>
              <w:rPr>
                <w:sz w:val="20"/>
                <w:szCs w:val="20"/>
              </w:rPr>
              <w:t>Exit</w:t>
            </w:r>
          </w:p>
        </w:tc>
        <w:tc>
          <w:tcPr>
            <w:tcW w:w="0" w:type="auto"/>
            <w:tcBorders>
              <w:top w:val="nil"/>
              <w:left w:val="nil"/>
              <w:bottom w:val="single" w:sz="6" w:space="0" w:color="auto"/>
              <w:right w:val="nil"/>
            </w:tcBorders>
          </w:tcPr>
          <w:p w14:paraId="5C8B5306" w14:textId="77777777" w:rsidR="00315077" w:rsidRPr="001A001A" w:rsidRDefault="00315077" w:rsidP="00315077">
            <w:pPr>
              <w:widowControl w:val="0"/>
              <w:autoSpaceDE w:val="0"/>
              <w:autoSpaceDN w:val="0"/>
              <w:adjustRightInd w:val="0"/>
              <w:jc w:val="center"/>
              <w:rPr>
                <w:sz w:val="20"/>
                <w:szCs w:val="20"/>
              </w:rPr>
            </w:pPr>
            <w:r>
              <w:rPr>
                <w:sz w:val="20"/>
                <w:szCs w:val="20"/>
              </w:rPr>
              <w:t>Gov’t</w:t>
            </w:r>
          </w:p>
        </w:tc>
        <w:tc>
          <w:tcPr>
            <w:tcW w:w="0" w:type="auto"/>
            <w:tcBorders>
              <w:top w:val="nil"/>
              <w:left w:val="nil"/>
              <w:bottom w:val="single" w:sz="6" w:space="0" w:color="auto"/>
              <w:right w:val="nil"/>
            </w:tcBorders>
          </w:tcPr>
          <w:p w14:paraId="67FD0763" w14:textId="77777777" w:rsidR="00315077" w:rsidRPr="001A001A" w:rsidRDefault="00315077" w:rsidP="00315077">
            <w:pPr>
              <w:widowControl w:val="0"/>
              <w:autoSpaceDE w:val="0"/>
              <w:autoSpaceDN w:val="0"/>
              <w:adjustRightInd w:val="0"/>
              <w:jc w:val="center"/>
              <w:rPr>
                <w:sz w:val="20"/>
                <w:szCs w:val="20"/>
              </w:rPr>
            </w:pPr>
            <w:r>
              <w:rPr>
                <w:sz w:val="20"/>
                <w:szCs w:val="20"/>
              </w:rPr>
              <w:t>Exit</w:t>
            </w:r>
          </w:p>
        </w:tc>
        <w:tc>
          <w:tcPr>
            <w:tcW w:w="0" w:type="auto"/>
            <w:tcBorders>
              <w:top w:val="nil"/>
              <w:left w:val="nil"/>
              <w:bottom w:val="single" w:sz="6" w:space="0" w:color="auto"/>
              <w:right w:val="nil"/>
            </w:tcBorders>
          </w:tcPr>
          <w:p w14:paraId="7111449E" w14:textId="77777777" w:rsidR="00315077" w:rsidRPr="001A001A" w:rsidRDefault="00315077" w:rsidP="00315077">
            <w:pPr>
              <w:widowControl w:val="0"/>
              <w:autoSpaceDE w:val="0"/>
              <w:autoSpaceDN w:val="0"/>
              <w:adjustRightInd w:val="0"/>
              <w:jc w:val="center"/>
              <w:rPr>
                <w:sz w:val="20"/>
                <w:szCs w:val="20"/>
              </w:rPr>
            </w:pPr>
            <w:r>
              <w:rPr>
                <w:sz w:val="20"/>
                <w:szCs w:val="20"/>
              </w:rPr>
              <w:t>Gov’t</w:t>
            </w:r>
          </w:p>
        </w:tc>
        <w:tc>
          <w:tcPr>
            <w:tcW w:w="0" w:type="auto"/>
            <w:tcBorders>
              <w:top w:val="nil"/>
              <w:left w:val="nil"/>
              <w:bottom w:val="single" w:sz="6" w:space="0" w:color="auto"/>
              <w:right w:val="nil"/>
            </w:tcBorders>
          </w:tcPr>
          <w:p w14:paraId="3E825191" w14:textId="77777777" w:rsidR="00315077" w:rsidRPr="001A001A" w:rsidRDefault="00315077" w:rsidP="00315077">
            <w:pPr>
              <w:widowControl w:val="0"/>
              <w:autoSpaceDE w:val="0"/>
              <w:autoSpaceDN w:val="0"/>
              <w:adjustRightInd w:val="0"/>
              <w:jc w:val="center"/>
              <w:rPr>
                <w:sz w:val="20"/>
                <w:szCs w:val="20"/>
              </w:rPr>
            </w:pPr>
            <w:r>
              <w:rPr>
                <w:sz w:val="20"/>
                <w:szCs w:val="20"/>
              </w:rPr>
              <w:t>Exit</w:t>
            </w:r>
          </w:p>
        </w:tc>
        <w:tc>
          <w:tcPr>
            <w:tcW w:w="0" w:type="auto"/>
            <w:tcBorders>
              <w:top w:val="nil"/>
              <w:left w:val="nil"/>
              <w:bottom w:val="single" w:sz="6" w:space="0" w:color="auto"/>
              <w:right w:val="nil"/>
            </w:tcBorders>
          </w:tcPr>
          <w:p w14:paraId="287FFE5F" w14:textId="77777777" w:rsidR="00315077" w:rsidRPr="001A001A" w:rsidRDefault="00315077" w:rsidP="00315077">
            <w:pPr>
              <w:widowControl w:val="0"/>
              <w:autoSpaceDE w:val="0"/>
              <w:autoSpaceDN w:val="0"/>
              <w:adjustRightInd w:val="0"/>
              <w:jc w:val="center"/>
              <w:rPr>
                <w:sz w:val="20"/>
                <w:szCs w:val="20"/>
              </w:rPr>
            </w:pPr>
            <w:r>
              <w:rPr>
                <w:sz w:val="20"/>
                <w:szCs w:val="20"/>
              </w:rPr>
              <w:t>Gov’t</w:t>
            </w:r>
          </w:p>
        </w:tc>
      </w:tr>
      <w:tr w:rsidR="00315077" w:rsidRPr="001A001A" w14:paraId="436DC01B" w14:textId="77777777" w:rsidTr="00315077">
        <w:trPr>
          <w:jc w:val="center"/>
        </w:trPr>
        <w:tc>
          <w:tcPr>
            <w:tcW w:w="0" w:type="auto"/>
            <w:tcBorders>
              <w:top w:val="nil"/>
              <w:left w:val="nil"/>
              <w:bottom w:val="nil"/>
              <w:right w:val="nil"/>
            </w:tcBorders>
          </w:tcPr>
          <w:p w14:paraId="4162D21B" w14:textId="77777777" w:rsidR="00315077" w:rsidRPr="001A001A" w:rsidRDefault="00315077" w:rsidP="00315077">
            <w:pPr>
              <w:widowControl w:val="0"/>
              <w:autoSpaceDE w:val="0"/>
              <w:autoSpaceDN w:val="0"/>
              <w:adjustRightInd w:val="0"/>
              <w:rPr>
                <w:sz w:val="20"/>
                <w:szCs w:val="20"/>
              </w:rPr>
            </w:pPr>
            <w:r>
              <w:rPr>
                <w:sz w:val="20"/>
                <w:szCs w:val="20"/>
              </w:rPr>
              <w:t>Connected</w:t>
            </w:r>
          </w:p>
        </w:tc>
        <w:tc>
          <w:tcPr>
            <w:tcW w:w="0" w:type="auto"/>
            <w:tcBorders>
              <w:top w:val="nil"/>
              <w:left w:val="nil"/>
              <w:bottom w:val="nil"/>
              <w:right w:val="nil"/>
            </w:tcBorders>
          </w:tcPr>
          <w:p w14:paraId="07233AAA"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6D8E51F7"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07EB5224"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69BAE7A6"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4255AA77"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6B7964EE"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2B21E62A"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4E879BB8" w14:textId="77777777" w:rsidR="00315077" w:rsidRPr="001A001A" w:rsidRDefault="00315077" w:rsidP="00315077">
            <w:pPr>
              <w:widowControl w:val="0"/>
              <w:autoSpaceDE w:val="0"/>
              <w:autoSpaceDN w:val="0"/>
              <w:adjustRightInd w:val="0"/>
              <w:jc w:val="center"/>
              <w:rPr>
                <w:sz w:val="20"/>
                <w:szCs w:val="20"/>
              </w:rPr>
            </w:pPr>
          </w:p>
        </w:tc>
      </w:tr>
      <w:tr w:rsidR="00315077" w:rsidRPr="001A001A" w14:paraId="3F89E60D" w14:textId="77777777" w:rsidTr="00315077">
        <w:trPr>
          <w:jc w:val="center"/>
        </w:trPr>
        <w:tc>
          <w:tcPr>
            <w:tcW w:w="0" w:type="auto"/>
            <w:tcBorders>
              <w:top w:val="nil"/>
              <w:left w:val="nil"/>
              <w:bottom w:val="nil"/>
              <w:right w:val="nil"/>
            </w:tcBorders>
          </w:tcPr>
          <w:p w14:paraId="646F929D" w14:textId="77777777" w:rsidR="00315077" w:rsidRPr="001A001A" w:rsidRDefault="00315077" w:rsidP="00315077">
            <w:pPr>
              <w:widowControl w:val="0"/>
              <w:autoSpaceDE w:val="0"/>
              <w:autoSpaceDN w:val="0"/>
              <w:adjustRightInd w:val="0"/>
              <w:rPr>
                <w:sz w:val="20"/>
                <w:szCs w:val="20"/>
              </w:rPr>
            </w:pPr>
            <w:r>
              <w:rPr>
                <w:sz w:val="20"/>
                <w:szCs w:val="20"/>
              </w:rPr>
              <w:t xml:space="preserve"> C</w:t>
            </w:r>
            <w:r w:rsidRPr="001A001A">
              <w:rPr>
                <w:sz w:val="20"/>
                <w:szCs w:val="20"/>
              </w:rPr>
              <w:t>entral</w:t>
            </w:r>
          </w:p>
        </w:tc>
        <w:tc>
          <w:tcPr>
            <w:tcW w:w="0" w:type="auto"/>
            <w:tcBorders>
              <w:top w:val="nil"/>
              <w:left w:val="nil"/>
              <w:bottom w:val="nil"/>
              <w:right w:val="nil"/>
            </w:tcBorders>
          </w:tcPr>
          <w:p w14:paraId="275883D4"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-0.793*</w:t>
            </w:r>
          </w:p>
        </w:tc>
        <w:tc>
          <w:tcPr>
            <w:tcW w:w="0" w:type="auto"/>
            <w:tcBorders>
              <w:top w:val="nil"/>
              <w:left w:val="nil"/>
              <w:bottom w:val="nil"/>
              <w:right w:val="nil"/>
            </w:tcBorders>
          </w:tcPr>
          <w:p w14:paraId="09C619FC"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-0.240</w:t>
            </w:r>
          </w:p>
        </w:tc>
        <w:tc>
          <w:tcPr>
            <w:tcW w:w="0" w:type="auto"/>
            <w:tcBorders>
              <w:top w:val="nil"/>
              <w:left w:val="nil"/>
              <w:bottom w:val="nil"/>
              <w:right w:val="nil"/>
            </w:tcBorders>
          </w:tcPr>
          <w:p w14:paraId="0FDF9458"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0F4AA580"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3DBBD573"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69F86E39"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7AA96B8D"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5090012C" w14:textId="77777777" w:rsidR="00315077" w:rsidRPr="001A001A" w:rsidRDefault="00315077" w:rsidP="00315077">
            <w:pPr>
              <w:widowControl w:val="0"/>
              <w:autoSpaceDE w:val="0"/>
              <w:autoSpaceDN w:val="0"/>
              <w:adjustRightInd w:val="0"/>
              <w:jc w:val="center"/>
              <w:rPr>
                <w:sz w:val="20"/>
                <w:szCs w:val="20"/>
              </w:rPr>
            </w:pPr>
          </w:p>
        </w:tc>
      </w:tr>
      <w:tr w:rsidR="00315077" w:rsidRPr="001A001A" w14:paraId="4C1AB098" w14:textId="77777777" w:rsidTr="00315077">
        <w:trPr>
          <w:jc w:val="center"/>
        </w:trPr>
        <w:tc>
          <w:tcPr>
            <w:tcW w:w="0" w:type="auto"/>
            <w:tcBorders>
              <w:top w:val="nil"/>
              <w:left w:val="nil"/>
              <w:bottom w:val="nil"/>
              <w:right w:val="nil"/>
            </w:tcBorders>
          </w:tcPr>
          <w:p w14:paraId="284B5E3C" w14:textId="77777777" w:rsidR="00315077" w:rsidRPr="001A001A" w:rsidRDefault="00315077" w:rsidP="00315077">
            <w:pPr>
              <w:widowControl w:val="0"/>
              <w:autoSpaceDE w:val="0"/>
              <w:autoSpaceDN w:val="0"/>
              <w:adjustRightInd w:val="0"/>
              <w:rPr>
                <w:sz w:val="20"/>
                <w:szCs w:val="20"/>
              </w:rPr>
            </w:pPr>
          </w:p>
        </w:tc>
        <w:tc>
          <w:tcPr>
            <w:tcW w:w="0" w:type="auto"/>
            <w:tcBorders>
              <w:top w:val="nil"/>
              <w:left w:val="nil"/>
              <w:bottom w:val="nil"/>
              <w:right w:val="nil"/>
            </w:tcBorders>
          </w:tcPr>
          <w:p w14:paraId="6E6AF1A5"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(0.421)</w:t>
            </w:r>
          </w:p>
        </w:tc>
        <w:tc>
          <w:tcPr>
            <w:tcW w:w="0" w:type="auto"/>
            <w:tcBorders>
              <w:top w:val="nil"/>
              <w:left w:val="nil"/>
              <w:bottom w:val="nil"/>
              <w:right w:val="nil"/>
            </w:tcBorders>
          </w:tcPr>
          <w:p w14:paraId="17C53C95"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(0.524)</w:t>
            </w:r>
          </w:p>
        </w:tc>
        <w:tc>
          <w:tcPr>
            <w:tcW w:w="0" w:type="auto"/>
            <w:tcBorders>
              <w:top w:val="nil"/>
              <w:left w:val="nil"/>
              <w:bottom w:val="nil"/>
              <w:right w:val="nil"/>
            </w:tcBorders>
          </w:tcPr>
          <w:p w14:paraId="04B1DA81"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36182715"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57A02E83"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37254848"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2C52D331"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007CBAE6" w14:textId="77777777" w:rsidR="00315077" w:rsidRPr="001A001A" w:rsidRDefault="00315077" w:rsidP="00315077">
            <w:pPr>
              <w:widowControl w:val="0"/>
              <w:autoSpaceDE w:val="0"/>
              <w:autoSpaceDN w:val="0"/>
              <w:adjustRightInd w:val="0"/>
              <w:jc w:val="center"/>
              <w:rPr>
                <w:sz w:val="20"/>
                <w:szCs w:val="20"/>
              </w:rPr>
            </w:pPr>
          </w:p>
        </w:tc>
      </w:tr>
      <w:tr w:rsidR="00315077" w:rsidRPr="001A001A" w14:paraId="0E030B2B" w14:textId="77777777" w:rsidTr="00315077">
        <w:trPr>
          <w:jc w:val="center"/>
        </w:trPr>
        <w:tc>
          <w:tcPr>
            <w:tcW w:w="0" w:type="auto"/>
            <w:tcBorders>
              <w:top w:val="nil"/>
              <w:left w:val="nil"/>
              <w:bottom w:val="nil"/>
              <w:right w:val="nil"/>
            </w:tcBorders>
          </w:tcPr>
          <w:p w14:paraId="36F5830C" w14:textId="77777777" w:rsidR="00315077" w:rsidRPr="001A001A" w:rsidRDefault="00315077" w:rsidP="00315077">
            <w:pPr>
              <w:widowControl w:val="0"/>
              <w:autoSpaceDE w:val="0"/>
              <w:autoSpaceDN w:val="0"/>
              <w:adjustRightInd w:val="0"/>
              <w:rPr>
                <w:sz w:val="20"/>
                <w:szCs w:val="20"/>
              </w:rPr>
            </w:pPr>
            <w:r>
              <w:rPr>
                <w:sz w:val="20"/>
                <w:szCs w:val="20"/>
              </w:rPr>
              <w:t xml:space="preserve"> SASAC D</w:t>
            </w:r>
            <w:r w:rsidRPr="001A001A">
              <w:rPr>
                <w:sz w:val="20"/>
                <w:szCs w:val="20"/>
              </w:rPr>
              <w:t>irector</w:t>
            </w:r>
          </w:p>
        </w:tc>
        <w:tc>
          <w:tcPr>
            <w:tcW w:w="0" w:type="auto"/>
            <w:tcBorders>
              <w:top w:val="nil"/>
              <w:left w:val="nil"/>
              <w:bottom w:val="nil"/>
              <w:right w:val="nil"/>
            </w:tcBorders>
          </w:tcPr>
          <w:p w14:paraId="03B141C6"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4234F74F"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05007C40"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-0.741</w:t>
            </w:r>
          </w:p>
        </w:tc>
        <w:tc>
          <w:tcPr>
            <w:tcW w:w="0" w:type="auto"/>
            <w:tcBorders>
              <w:top w:val="nil"/>
              <w:left w:val="nil"/>
              <w:bottom w:val="nil"/>
              <w:right w:val="nil"/>
            </w:tcBorders>
          </w:tcPr>
          <w:p w14:paraId="7EAB61F6"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-0.204</w:t>
            </w:r>
          </w:p>
        </w:tc>
        <w:tc>
          <w:tcPr>
            <w:tcW w:w="0" w:type="auto"/>
            <w:tcBorders>
              <w:top w:val="nil"/>
              <w:left w:val="nil"/>
              <w:bottom w:val="nil"/>
              <w:right w:val="nil"/>
            </w:tcBorders>
          </w:tcPr>
          <w:p w14:paraId="0FDA1BD9"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3D6B0283"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4D4C3BA6"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009923E7" w14:textId="77777777" w:rsidR="00315077" w:rsidRPr="001A001A" w:rsidRDefault="00315077" w:rsidP="00315077">
            <w:pPr>
              <w:widowControl w:val="0"/>
              <w:autoSpaceDE w:val="0"/>
              <w:autoSpaceDN w:val="0"/>
              <w:adjustRightInd w:val="0"/>
              <w:jc w:val="center"/>
              <w:rPr>
                <w:sz w:val="20"/>
                <w:szCs w:val="20"/>
              </w:rPr>
            </w:pPr>
          </w:p>
        </w:tc>
      </w:tr>
      <w:tr w:rsidR="00315077" w:rsidRPr="001A001A" w14:paraId="2F7BA289" w14:textId="77777777" w:rsidTr="00315077">
        <w:trPr>
          <w:jc w:val="center"/>
        </w:trPr>
        <w:tc>
          <w:tcPr>
            <w:tcW w:w="0" w:type="auto"/>
            <w:tcBorders>
              <w:top w:val="nil"/>
              <w:left w:val="nil"/>
              <w:bottom w:val="nil"/>
              <w:right w:val="nil"/>
            </w:tcBorders>
          </w:tcPr>
          <w:p w14:paraId="25D03795" w14:textId="77777777" w:rsidR="00315077" w:rsidRPr="001A001A" w:rsidRDefault="00315077" w:rsidP="00315077">
            <w:pPr>
              <w:widowControl w:val="0"/>
              <w:autoSpaceDE w:val="0"/>
              <w:autoSpaceDN w:val="0"/>
              <w:adjustRightInd w:val="0"/>
              <w:rPr>
                <w:sz w:val="20"/>
                <w:szCs w:val="20"/>
              </w:rPr>
            </w:pPr>
          </w:p>
        </w:tc>
        <w:tc>
          <w:tcPr>
            <w:tcW w:w="0" w:type="auto"/>
            <w:tcBorders>
              <w:top w:val="nil"/>
              <w:left w:val="nil"/>
              <w:bottom w:val="nil"/>
              <w:right w:val="nil"/>
            </w:tcBorders>
          </w:tcPr>
          <w:p w14:paraId="3FF10EA2"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1DCB213A"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14C66B11"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(0.513)</w:t>
            </w:r>
          </w:p>
        </w:tc>
        <w:tc>
          <w:tcPr>
            <w:tcW w:w="0" w:type="auto"/>
            <w:tcBorders>
              <w:top w:val="nil"/>
              <w:left w:val="nil"/>
              <w:bottom w:val="nil"/>
              <w:right w:val="nil"/>
            </w:tcBorders>
          </w:tcPr>
          <w:p w14:paraId="1B06191C"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(0.491)</w:t>
            </w:r>
          </w:p>
        </w:tc>
        <w:tc>
          <w:tcPr>
            <w:tcW w:w="0" w:type="auto"/>
            <w:tcBorders>
              <w:top w:val="nil"/>
              <w:left w:val="nil"/>
              <w:bottom w:val="nil"/>
              <w:right w:val="nil"/>
            </w:tcBorders>
          </w:tcPr>
          <w:p w14:paraId="53FE07E9"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53824D16"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48D41DDB"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0C8A44BC" w14:textId="77777777" w:rsidR="00315077" w:rsidRPr="001A001A" w:rsidRDefault="00315077" w:rsidP="00315077">
            <w:pPr>
              <w:widowControl w:val="0"/>
              <w:autoSpaceDE w:val="0"/>
              <w:autoSpaceDN w:val="0"/>
              <w:adjustRightInd w:val="0"/>
              <w:jc w:val="center"/>
              <w:rPr>
                <w:sz w:val="20"/>
                <w:szCs w:val="20"/>
              </w:rPr>
            </w:pPr>
          </w:p>
        </w:tc>
      </w:tr>
      <w:tr w:rsidR="00315077" w:rsidRPr="001A001A" w14:paraId="5A4D744F" w14:textId="77777777" w:rsidTr="00315077">
        <w:trPr>
          <w:jc w:val="center"/>
        </w:trPr>
        <w:tc>
          <w:tcPr>
            <w:tcW w:w="0" w:type="auto"/>
            <w:tcBorders>
              <w:top w:val="nil"/>
              <w:left w:val="nil"/>
              <w:bottom w:val="nil"/>
              <w:right w:val="nil"/>
            </w:tcBorders>
          </w:tcPr>
          <w:p w14:paraId="35172B20" w14:textId="77777777" w:rsidR="00315077" w:rsidRPr="001A001A" w:rsidRDefault="00315077" w:rsidP="00315077">
            <w:pPr>
              <w:widowControl w:val="0"/>
              <w:autoSpaceDE w:val="0"/>
              <w:autoSpaceDN w:val="0"/>
              <w:adjustRightInd w:val="0"/>
              <w:rPr>
                <w:sz w:val="20"/>
                <w:szCs w:val="20"/>
              </w:rPr>
            </w:pPr>
            <w:r>
              <w:rPr>
                <w:sz w:val="20"/>
                <w:szCs w:val="20"/>
              </w:rPr>
              <w:t xml:space="preserve"> COD Director</w:t>
            </w:r>
          </w:p>
        </w:tc>
        <w:tc>
          <w:tcPr>
            <w:tcW w:w="0" w:type="auto"/>
            <w:tcBorders>
              <w:top w:val="nil"/>
              <w:left w:val="nil"/>
              <w:bottom w:val="nil"/>
              <w:right w:val="nil"/>
            </w:tcBorders>
          </w:tcPr>
          <w:p w14:paraId="54DE3DCB"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6CF58669"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2232590A"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008EA7E2"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7BCB3502"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-0.681*</w:t>
            </w:r>
          </w:p>
        </w:tc>
        <w:tc>
          <w:tcPr>
            <w:tcW w:w="0" w:type="auto"/>
            <w:tcBorders>
              <w:top w:val="nil"/>
              <w:left w:val="nil"/>
              <w:bottom w:val="nil"/>
              <w:right w:val="nil"/>
            </w:tcBorders>
          </w:tcPr>
          <w:p w14:paraId="3DBD7880"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-0.424</w:t>
            </w:r>
          </w:p>
        </w:tc>
        <w:tc>
          <w:tcPr>
            <w:tcW w:w="0" w:type="auto"/>
            <w:tcBorders>
              <w:top w:val="nil"/>
              <w:left w:val="nil"/>
              <w:bottom w:val="nil"/>
              <w:right w:val="nil"/>
            </w:tcBorders>
          </w:tcPr>
          <w:p w14:paraId="28C4A5BC"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1B16F1F8" w14:textId="77777777" w:rsidR="00315077" w:rsidRPr="001A001A" w:rsidRDefault="00315077" w:rsidP="00315077">
            <w:pPr>
              <w:widowControl w:val="0"/>
              <w:autoSpaceDE w:val="0"/>
              <w:autoSpaceDN w:val="0"/>
              <w:adjustRightInd w:val="0"/>
              <w:jc w:val="center"/>
              <w:rPr>
                <w:sz w:val="20"/>
                <w:szCs w:val="20"/>
              </w:rPr>
            </w:pPr>
          </w:p>
        </w:tc>
      </w:tr>
      <w:tr w:rsidR="00315077" w:rsidRPr="001A001A" w14:paraId="37B60C6D" w14:textId="77777777" w:rsidTr="00315077">
        <w:trPr>
          <w:jc w:val="center"/>
        </w:trPr>
        <w:tc>
          <w:tcPr>
            <w:tcW w:w="0" w:type="auto"/>
            <w:tcBorders>
              <w:top w:val="nil"/>
              <w:left w:val="nil"/>
              <w:bottom w:val="nil"/>
              <w:right w:val="nil"/>
            </w:tcBorders>
          </w:tcPr>
          <w:p w14:paraId="6873E3E5" w14:textId="77777777" w:rsidR="00315077" w:rsidRPr="001A001A" w:rsidRDefault="00315077" w:rsidP="00315077">
            <w:pPr>
              <w:widowControl w:val="0"/>
              <w:autoSpaceDE w:val="0"/>
              <w:autoSpaceDN w:val="0"/>
              <w:adjustRightInd w:val="0"/>
              <w:rPr>
                <w:sz w:val="20"/>
                <w:szCs w:val="20"/>
              </w:rPr>
            </w:pPr>
          </w:p>
        </w:tc>
        <w:tc>
          <w:tcPr>
            <w:tcW w:w="0" w:type="auto"/>
            <w:tcBorders>
              <w:top w:val="nil"/>
              <w:left w:val="nil"/>
              <w:bottom w:val="nil"/>
              <w:right w:val="nil"/>
            </w:tcBorders>
          </w:tcPr>
          <w:p w14:paraId="40FAC94B"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70091ACF"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28566BDD"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1674D015"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1A5F8475"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(0.412)</w:t>
            </w:r>
          </w:p>
        </w:tc>
        <w:tc>
          <w:tcPr>
            <w:tcW w:w="0" w:type="auto"/>
            <w:tcBorders>
              <w:top w:val="nil"/>
              <w:left w:val="nil"/>
              <w:bottom w:val="nil"/>
              <w:right w:val="nil"/>
            </w:tcBorders>
          </w:tcPr>
          <w:p w14:paraId="5D693346"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(0.548)</w:t>
            </w:r>
          </w:p>
        </w:tc>
        <w:tc>
          <w:tcPr>
            <w:tcW w:w="0" w:type="auto"/>
            <w:tcBorders>
              <w:top w:val="nil"/>
              <w:left w:val="nil"/>
              <w:bottom w:val="nil"/>
              <w:right w:val="nil"/>
            </w:tcBorders>
          </w:tcPr>
          <w:p w14:paraId="27E0FC2B"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7D36BB22" w14:textId="77777777" w:rsidR="00315077" w:rsidRPr="001A001A" w:rsidRDefault="00315077" w:rsidP="00315077">
            <w:pPr>
              <w:widowControl w:val="0"/>
              <w:autoSpaceDE w:val="0"/>
              <w:autoSpaceDN w:val="0"/>
              <w:adjustRightInd w:val="0"/>
              <w:jc w:val="center"/>
              <w:rPr>
                <w:sz w:val="20"/>
                <w:szCs w:val="20"/>
              </w:rPr>
            </w:pPr>
          </w:p>
        </w:tc>
      </w:tr>
      <w:tr w:rsidR="00315077" w:rsidRPr="001A001A" w14:paraId="71D1C77A" w14:textId="77777777" w:rsidTr="00315077">
        <w:trPr>
          <w:jc w:val="center"/>
        </w:trPr>
        <w:tc>
          <w:tcPr>
            <w:tcW w:w="0" w:type="auto"/>
            <w:tcBorders>
              <w:top w:val="nil"/>
              <w:left w:val="nil"/>
              <w:bottom w:val="nil"/>
              <w:right w:val="nil"/>
            </w:tcBorders>
          </w:tcPr>
          <w:p w14:paraId="5E077BDA" w14:textId="77777777" w:rsidR="00315077" w:rsidRPr="001A001A" w:rsidRDefault="00315077" w:rsidP="00315077">
            <w:pPr>
              <w:widowControl w:val="0"/>
              <w:autoSpaceDE w:val="0"/>
              <w:autoSpaceDN w:val="0"/>
              <w:adjustRightInd w:val="0"/>
              <w:rPr>
                <w:sz w:val="20"/>
                <w:szCs w:val="20"/>
              </w:rPr>
            </w:pPr>
            <w:r w:rsidRPr="001A001A">
              <w:rPr>
                <w:sz w:val="20"/>
                <w:szCs w:val="20"/>
              </w:rPr>
              <w:t>Connections (Cumulative)</w:t>
            </w:r>
          </w:p>
        </w:tc>
        <w:tc>
          <w:tcPr>
            <w:tcW w:w="0" w:type="auto"/>
            <w:tcBorders>
              <w:top w:val="nil"/>
              <w:left w:val="nil"/>
              <w:bottom w:val="nil"/>
              <w:right w:val="nil"/>
            </w:tcBorders>
          </w:tcPr>
          <w:p w14:paraId="60273442"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5B0CAE8D"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10914A9E"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30E83863"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57C7EF27"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2C2E860F"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0FD9AD97"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-0.451**</w:t>
            </w:r>
          </w:p>
        </w:tc>
        <w:tc>
          <w:tcPr>
            <w:tcW w:w="0" w:type="auto"/>
            <w:tcBorders>
              <w:top w:val="nil"/>
              <w:left w:val="nil"/>
              <w:bottom w:val="nil"/>
              <w:right w:val="nil"/>
            </w:tcBorders>
          </w:tcPr>
          <w:p w14:paraId="2CE53FEA"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-0.189</w:t>
            </w:r>
          </w:p>
        </w:tc>
      </w:tr>
      <w:tr w:rsidR="00315077" w:rsidRPr="001A001A" w14:paraId="1E40EBFD" w14:textId="77777777" w:rsidTr="00315077">
        <w:trPr>
          <w:jc w:val="center"/>
        </w:trPr>
        <w:tc>
          <w:tcPr>
            <w:tcW w:w="0" w:type="auto"/>
            <w:tcBorders>
              <w:top w:val="nil"/>
              <w:left w:val="nil"/>
              <w:bottom w:val="nil"/>
              <w:right w:val="nil"/>
            </w:tcBorders>
          </w:tcPr>
          <w:p w14:paraId="17DE7A80" w14:textId="77777777" w:rsidR="00315077" w:rsidRPr="001A001A" w:rsidRDefault="00315077" w:rsidP="00315077">
            <w:pPr>
              <w:widowControl w:val="0"/>
              <w:autoSpaceDE w:val="0"/>
              <w:autoSpaceDN w:val="0"/>
              <w:adjustRightInd w:val="0"/>
              <w:rPr>
                <w:sz w:val="20"/>
                <w:szCs w:val="20"/>
              </w:rPr>
            </w:pPr>
          </w:p>
        </w:tc>
        <w:tc>
          <w:tcPr>
            <w:tcW w:w="0" w:type="auto"/>
            <w:tcBorders>
              <w:top w:val="nil"/>
              <w:left w:val="nil"/>
              <w:bottom w:val="nil"/>
              <w:right w:val="nil"/>
            </w:tcBorders>
          </w:tcPr>
          <w:p w14:paraId="4D0E389F"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359F077A"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30EE9363"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4B98FC0E"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470A7CAD"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785DDFA5"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4459C53C"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(0.213)</w:t>
            </w:r>
          </w:p>
        </w:tc>
        <w:tc>
          <w:tcPr>
            <w:tcW w:w="0" w:type="auto"/>
            <w:tcBorders>
              <w:top w:val="nil"/>
              <w:left w:val="nil"/>
              <w:bottom w:val="nil"/>
              <w:right w:val="nil"/>
            </w:tcBorders>
          </w:tcPr>
          <w:p w14:paraId="42F07839"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(0.235)</w:t>
            </w:r>
          </w:p>
        </w:tc>
      </w:tr>
      <w:tr w:rsidR="00315077" w:rsidRPr="001A001A" w14:paraId="131657CC" w14:textId="77777777" w:rsidTr="00315077">
        <w:trPr>
          <w:jc w:val="center"/>
        </w:trPr>
        <w:tc>
          <w:tcPr>
            <w:tcW w:w="0" w:type="auto"/>
            <w:tcBorders>
              <w:top w:val="nil"/>
              <w:left w:val="nil"/>
              <w:bottom w:val="nil"/>
              <w:right w:val="nil"/>
            </w:tcBorders>
          </w:tcPr>
          <w:p w14:paraId="3BAA151D" w14:textId="77777777" w:rsidR="00315077" w:rsidRPr="001A001A" w:rsidRDefault="00315077" w:rsidP="00315077">
            <w:pPr>
              <w:widowControl w:val="0"/>
              <w:autoSpaceDE w:val="0"/>
              <w:autoSpaceDN w:val="0"/>
              <w:adjustRightInd w:val="0"/>
              <w:rPr>
                <w:sz w:val="20"/>
                <w:szCs w:val="20"/>
              </w:rPr>
            </w:pPr>
            <w:r w:rsidRPr="001A001A">
              <w:rPr>
                <w:sz w:val="20"/>
                <w:szCs w:val="20"/>
              </w:rPr>
              <w:t>ROA</w:t>
            </w:r>
          </w:p>
        </w:tc>
        <w:tc>
          <w:tcPr>
            <w:tcW w:w="0" w:type="auto"/>
            <w:tcBorders>
              <w:top w:val="nil"/>
              <w:left w:val="nil"/>
              <w:bottom w:val="nil"/>
              <w:right w:val="nil"/>
            </w:tcBorders>
          </w:tcPr>
          <w:p w14:paraId="06F8C8F7"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-0.437</w:t>
            </w:r>
          </w:p>
        </w:tc>
        <w:tc>
          <w:tcPr>
            <w:tcW w:w="0" w:type="auto"/>
            <w:tcBorders>
              <w:top w:val="nil"/>
              <w:left w:val="nil"/>
              <w:bottom w:val="nil"/>
              <w:right w:val="nil"/>
            </w:tcBorders>
          </w:tcPr>
          <w:p w14:paraId="11424D87"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-0.465</w:t>
            </w:r>
          </w:p>
        </w:tc>
        <w:tc>
          <w:tcPr>
            <w:tcW w:w="0" w:type="auto"/>
            <w:tcBorders>
              <w:top w:val="nil"/>
              <w:left w:val="nil"/>
              <w:bottom w:val="nil"/>
              <w:right w:val="nil"/>
            </w:tcBorders>
          </w:tcPr>
          <w:p w14:paraId="37A4E473"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-0.362</w:t>
            </w:r>
          </w:p>
        </w:tc>
        <w:tc>
          <w:tcPr>
            <w:tcW w:w="0" w:type="auto"/>
            <w:tcBorders>
              <w:top w:val="nil"/>
              <w:left w:val="nil"/>
              <w:bottom w:val="nil"/>
              <w:right w:val="nil"/>
            </w:tcBorders>
          </w:tcPr>
          <w:p w14:paraId="4BDCD04A"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-0.459</w:t>
            </w:r>
          </w:p>
        </w:tc>
        <w:tc>
          <w:tcPr>
            <w:tcW w:w="0" w:type="auto"/>
            <w:tcBorders>
              <w:top w:val="nil"/>
              <w:left w:val="nil"/>
              <w:bottom w:val="nil"/>
              <w:right w:val="nil"/>
            </w:tcBorders>
          </w:tcPr>
          <w:p w14:paraId="712F8FC8"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-0.365</w:t>
            </w:r>
          </w:p>
        </w:tc>
        <w:tc>
          <w:tcPr>
            <w:tcW w:w="0" w:type="auto"/>
            <w:tcBorders>
              <w:top w:val="nil"/>
              <w:left w:val="nil"/>
              <w:bottom w:val="nil"/>
              <w:right w:val="nil"/>
            </w:tcBorders>
          </w:tcPr>
          <w:p w14:paraId="48ABD0E2"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-0.448</w:t>
            </w:r>
          </w:p>
        </w:tc>
        <w:tc>
          <w:tcPr>
            <w:tcW w:w="0" w:type="auto"/>
            <w:tcBorders>
              <w:top w:val="nil"/>
              <w:left w:val="nil"/>
              <w:bottom w:val="nil"/>
              <w:right w:val="nil"/>
            </w:tcBorders>
          </w:tcPr>
          <w:p w14:paraId="0279573B"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-0.392</w:t>
            </w:r>
          </w:p>
        </w:tc>
        <w:tc>
          <w:tcPr>
            <w:tcW w:w="0" w:type="auto"/>
            <w:tcBorders>
              <w:top w:val="nil"/>
              <w:left w:val="nil"/>
              <w:bottom w:val="nil"/>
              <w:right w:val="nil"/>
            </w:tcBorders>
          </w:tcPr>
          <w:p w14:paraId="04141FD8"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-0.458</w:t>
            </w:r>
          </w:p>
        </w:tc>
      </w:tr>
      <w:tr w:rsidR="00315077" w:rsidRPr="001A001A" w14:paraId="3AB78E1C" w14:textId="77777777" w:rsidTr="00315077">
        <w:trPr>
          <w:jc w:val="center"/>
        </w:trPr>
        <w:tc>
          <w:tcPr>
            <w:tcW w:w="0" w:type="auto"/>
            <w:tcBorders>
              <w:top w:val="nil"/>
              <w:left w:val="nil"/>
              <w:bottom w:val="nil"/>
              <w:right w:val="nil"/>
            </w:tcBorders>
          </w:tcPr>
          <w:p w14:paraId="5B32EBAA" w14:textId="77777777" w:rsidR="00315077" w:rsidRPr="001A001A" w:rsidRDefault="00315077" w:rsidP="00315077">
            <w:pPr>
              <w:widowControl w:val="0"/>
              <w:autoSpaceDE w:val="0"/>
              <w:autoSpaceDN w:val="0"/>
              <w:adjustRightInd w:val="0"/>
              <w:rPr>
                <w:sz w:val="20"/>
                <w:szCs w:val="20"/>
              </w:rPr>
            </w:pPr>
          </w:p>
        </w:tc>
        <w:tc>
          <w:tcPr>
            <w:tcW w:w="0" w:type="auto"/>
            <w:tcBorders>
              <w:top w:val="nil"/>
              <w:left w:val="nil"/>
              <w:bottom w:val="nil"/>
              <w:right w:val="nil"/>
            </w:tcBorders>
          </w:tcPr>
          <w:p w14:paraId="4B87BD0D"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(0.296)</w:t>
            </w:r>
          </w:p>
        </w:tc>
        <w:tc>
          <w:tcPr>
            <w:tcW w:w="0" w:type="auto"/>
            <w:tcBorders>
              <w:top w:val="nil"/>
              <w:left w:val="nil"/>
              <w:bottom w:val="nil"/>
              <w:right w:val="nil"/>
            </w:tcBorders>
          </w:tcPr>
          <w:p w14:paraId="316C6740"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(0.409)</w:t>
            </w:r>
          </w:p>
        </w:tc>
        <w:tc>
          <w:tcPr>
            <w:tcW w:w="0" w:type="auto"/>
            <w:tcBorders>
              <w:top w:val="nil"/>
              <w:left w:val="nil"/>
              <w:bottom w:val="nil"/>
              <w:right w:val="nil"/>
            </w:tcBorders>
          </w:tcPr>
          <w:p w14:paraId="26C1DFB0"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(0.322)</w:t>
            </w:r>
          </w:p>
        </w:tc>
        <w:tc>
          <w:tcPr>
            <w:tcW w:w="0" w:type="auto"/>
            <w:tcBorders>
              <w:top w:val="nil"/>
              <w:left w:val="nil"/>
              <w:bottom w:val="nil"/>
              <w:right w:val="nil"/>
            </w:tcBorders>
          </w:tcPr>
          <w:p w14:paraId="76AF29D1"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(0.409)</w:t>
            </w:r>
          </w:p>
        </w:tc>
        <w:tc>
          <w:tcPr>
            <w:tcW w:w="0" w:type="auto"/>
            <w:tcBorders>
              <w:top w:val="nil"/>
              <w:left w:val="nil"/>
              <w:bottom w:val="nil"/>
              <w:right w:val="nil"/>
            </w:tcBorders>
          </w:tcPr>
          <w:p w14:paraId="38E430AF"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(0.285)</w:t>
            </w:r>
          </w:p>
        </w:tc>
        <w:tc>
          <w:tcPr>
            <w:tcW w:w="0" w:type="auto"/>
            <w:tcBorders>
              <w:top w:val="nil"/>
              <w:left w:val="nil"/>
              <w:bottom w:val="nil"/>
              <w:right w:val="nil"/>
            </w:tcBorders>
          </w:tcPr>
          <w:p w14:paraId="252C89DC"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(0.406)</w:t>
            </w:r>
          </w:p>
        </w:tc>
        <w:tc>
          <w:tcPr>
            <w:tcW w:w="0" w:type="auto"/>
            <w:tcBorders>
              <w:top w:val="nil"/>
              <w:left w:val="nil"/>
              <w:bottom w:val="nil"/>
              <w:right w:val="nil"/>
            </w:tcBorders>
          </w:tcPr>
          <w:p w14:paraId="38B1800F"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(0.307)</w:t>
            </w:r>
          </w:p>
        </w:tc>
        <w:tc>
          <w:tcPr>
            <w:tcW w:w="0" w:type="auto"/>
            <w:tcBorders>
              <w:top w:val="nil"/>
              <w:left w:val="nil"/>
              <w:bottom w:val="nil"/>
              <w:right w:val="nil"/>
            </w:tcBorders>
          </w:tcPr>
          <w:p w14:paraId="0C8A8FB3"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(0.406)</w:t>
            </w:r>
          </w:p>
        </w:tc>
      </w:tr>
      <w:tr w:rsidR="00315077" w:rsidRPr="001A001A" w14:paraId="11FA3070" w14:textId="77777777" w:rsidTr="00315077">
        <w:trPr>
          <w:jc w:val="center"/>
        </w:trPr>
        <w:tc>
          <w:tcPr>
            <w:tcW w:w="0" w:type="auto"/>
            <w:tcBorders>
              <w:top w:val="nil"/>
              <w:left w:val="nil"/>
              <w:bottom w:val="nil"/>
              <w:right w:val="nil"/>
            </w:tcBorders>
          </w:tcPr>
          <w:p w14:paraId="2ED397F9" w14:textId="77777777" w:rsidR="00315077" w:rsidRPr="001A001A" w:rsidRDefault="00315077" w:rsidP="00315077">
            <w:pPr>
              <w:widowControl w:val="0"/>
              <w:autoSpaceDE w:val="0"/>
              <w:autoSpaceDN w:val="0"/>
              <w:adjustRightInd w:val="0"/>
              <w:rPr>
                <w:sz w:val="20"/>
                <w:szCs w:val="20"/>
              </w:rPr>
            </w:pPr>
            <w:r w:rsidRPr="001A001A">
              <w:rPr>
                <w:sz w:val="20"/>
                <w:szCs w:val="20"/>
              </w:rPr>
              <w:t>Experience: Central</w:t>
            </w:r>
          </w:p>
        </w:tc>
        <w:tc>
          <w:tcPr>
            <w:tcW w:w="0" w:type="auto"/>
            <w:tcBorders>
              <w:top w:val="nil"/>
              <w:left w:val="nil"/>
              <w:bottom w:val="nil"/>
              <w:right w:val="nil"/>
            </w:tcBorders>
          </w:tcPr>
          <w:p w14:paraId="0679F018"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0.113</w:t>
            </w:r>
          </w:p>
        </w:tc>
        <w:tc>
          <w:tcPr>
            <w:tcW w:w="0" w:type="auto"/>
            <w:tcBorders>
              <w:top w:val="nil"/>
              <w:left w:val="nil"/>
              <w:bottom w:val="nil"/>
              <w:right w:val="nil"/>
            </w:tcBorders>
          </w:tcPr>
          <w:p w14:paraId="0EFC8AE2"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0.537</w:t>
            </w:r>
          </w:p>
        </w:tc>
        <w:tc>
          <w:tcPr>
            <w:tcW w:w="0" w:type="auto"/>
            <w:tcBorders>
              <w:top w:val="nil"/>
              <w:left w:val="nil"/>
              <w:bottom w:val="nil"/>
              <w:right w:val="nil"/>
            </w:tcBorders>
          </w:tcPr>
          <w:p w14:paraId="0968C27E"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0.0316</w:t>
            </w:r>
          </w:p>
        </w:tc>
        <w:tc>
          <w:tcPr>
            <w:tcW w:w="0" w:type="auto"/>
            <w:tcBorders>
              <w:top w:val="nil"/>
              <w:left w:val="nil"/>
              <w:bottom w:val="nil"/>
              <w:right w:val="nil"/>
            </w:tcBorders>
          </w:tcPr>
          <w:p w14:paraId="12FA0CB4"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0.507</w:t>
            </w:r>
          </w:p>
        </w:tc>
        <w:tc>
          <w:tcPr>
            <w:tcW w:w="0" w:type="auto"/>
            <w:tcBorders>
              <w:top w:val="nil"/>
              <w:left w:val="nil"/>
              <w:bottom w:val="nil"/>
              <w:right w:val="nil"/>
            </w:tcBorders>
          </w:tcPr>
          <w:p w14:paraId="1DC62052"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0.0869</w:t>
            </w:r>
          </w:p>
        </w:tc>
        <w:tc>
          <w:tcPr>
            <w:tcW w:w="0" w:type="auto"/>
            <w:tcBorders>
              <w:top w:val="nil"/>
              <w:left w:val="nil"/>
              <w:bottom w:val="nil"/>
              <w:right w:val="nil"/>
            </w:tcBorders>
          </w:tcPr>
          <w:p w14:paraId="54D2B5D7"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0.597</w:t>
            </w:r>
          </w:p>
        </w:tc>
        <w:tc>
          <w:tcPr>
            <w:tcW w:w="0" w:type="auto"/>
            <w:tcBorders>
              <w:top w:val="nil"/>
              <w:left w:val="nil"/>
              <w:bottom w:val="nil"/>
              <w:right w:val="nil"/>
            </w:tcBorders>
          </w:tcPr>
          <w:p w14:paraId="3296E0F5"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0.126</w:t>
            </w:r>
          </w:p>
        </w:tc>
        <w:tc>
          <w:tcPr>
            <w:tcW w:w="0" w:type="auto"/>
            <w:tcBorders>
              <w:top w:val="nil"/>
              <w:left w:val="nil"/>
              <w:bottom w:val="nil"/>
              <w:right w:val="nil"/>
            </w:tcBorders>
          </w:tcPr>
          <w:p w14:paraId="6140E766"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0.541</w:t>
            </w:r>
          </w:p>
        </w:tc>
      </w:tr>
      <w:tr w:rsidR="00315077" w:rsidRPr="001A001A" w14:paraId="1CE764C0" w14:textId="77777777" w:rsidTr="00315077">
        <w:trPr>
          <w:jc w:val="center"/>
        </w:trPr>
        <w:tc>
          <w:tcPr>
            <w:tcW w:w="0" w:type="auto"/>
            <w:tcBorders>
              <w:top w:val="nil"/>
              <w:left w:val="nil"/>
              <w:bottom w:val="nil"/>
              <w:right w:val="nil"/>
            </w:tcBorders>
          </w:tcPr>
          <w:p w14:paraId="4621003E" w14:textId="77777777" w:rsidR="00315077" w:rsidRPr="001A001A" w:rsidRDefault="00315077" w:rsidP="00315077">
            <w:pPr>
              <w:widowControl w:val="0"/>
              <w:autoSpaceDE w:val="0"/>
              <w:autoSpaceDN w:val="0"/>
              <w:adjustRightInd w:val="0"/>
              <w:rPr>
                <w:sz w:val="20"/>
                <w:szCs w:val="20"/>
              </w:rPr>
            </w:pPr>
          </w:p>
        </w:tc>
        <w:tc>
          <w:tcPr>
            <w:tcW w:w="0" w:type="auto"/>
            <w:tcBorders>
              <w:top w:val="nil"/>
              <w:left w:val="nil"/>
              <w:bottom w:val="nil"/>
              <w:right w:val="nil"/>
            </w:tcBorders>
          </w:tcPr>
          <w:p w14:paraId="7B133644"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(0.489)</w:t>
            </w:r>
          </w:p>
        </w:tc>
        <w:tc>
          <w:tcPr>
            <w:tcW w:w="0" w:type="auto"/>
            <w:tcBorders>
              <w:top w:val="nil"/>
              <w:left w:val="nil"/>
              <w:bottom w:val="nil"/>
              <w:right w:val="nil"/>
            </w:tcBorders>
          </w:tcPr>
          <w:p w14:paraId="2B15D68D"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(0.579)</w:t>
            </w:r>
          </w:p>
        </w:tc>
        <w:tc>
          <w:tcPr>
            <w:tcW w:w="0" w:type="auto"/>
            <w:tcBorders>
              <w:top w:val="nil"/>
              <w:left w:val="nil"/>
              <w:bottom w:val="nil"/>
              <w:right w:val="nil"/>
            </w:tcBorders>
          </w:tcPr>
          <w:p w14:paraId="7FD49ED5"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(0.475)</w:t>
            </w:r>
          </w:p>
        </w:tc>
        <w:tc>
          <w:tcPr>
            <w:tcW w:w="0" w:type="auto"/>
            <w:tcBorders>
              <w:top w:val="nil"/>
              <w:left w:val="nil"/>
              <w:bottom w:val="nil"/>
              <w:right w:val="nil"/>
            </w:tcBorders>
          </w:tcPr>
          <w:p w14:paraId="1ADE59C0"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(0.581)</w:t>
            </w:r>
          </w:p>
        </w:tc>
        <w:tc>
          <w:tcPr>
            <w:tcW w:w="0" w:type="auto"/>
            <w:tcBorders>
              <w:top w:val="nil"/>
              <w:left w:val="nil"/>
              <w:bottom w:val="nil"/>
              <w:right w:val="nil"/>
            </w:tcBorders>
          </w:tcPr>
          <w:p w14:paraId="5F25E4B4"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(0.498)</w:t>
            </w:r>
          </w:p>
        </w:tc>
        <w:tc>
          <w:tcPr>
            <w:tcW w:w="0" w:type="auto"/>
            <w:tcBorders>
              <w:top w:val="nil"/>
              <w:left w:val="nil"/>
              <w:bottom w:val="nil"/>
              <w:right w:val="nil"/>
            </w:tcBorders>
          </w:tcPr>
          <w:p w14:paraId="4BC3B1F2"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(0.602)</w:t>
            </w:r>
          </w:p>
        </w:tc>
        <w:tc>
          <w:tcPr>
            <w:tcW w:w="0" w:type="auto"/>
            <w:tcBorders>
              <w:top w:val="nil"/>
              <w:left w:val="nil"/>
              <w:bottom w:val="nil"/>
              <w:right w:val="nil"/>
            </w:tcBorders>
          </w:tcPr>
          <w:p w14:paraId="2D8E619D"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(0.493)</w:t>
            </w:r>
          </w:p>
        </w:tc>
        <w:tc>
          <w:tcPr>
            <w:tcW w:w="0" w:type="auto"/>
            <w:tcBorders>
              <w:top w:val="nil"/>
              <w:left w:val="nil"/>
              <w:bottom w:val="nil"/>
              <w:right w:val="nil"/>
            </w:tcBorders>
          </w:tcPr>
          <w:p w14:paraId="4A438F90"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(0.579)</w:t>
            </w:r>
          </w:p>
        </w:tc>
      </w:tr>
      <w:tr w:rsidR="00315077" w:rsidRPr="001A001A" w14:paraId="1787ADA0" w14:textId="77777777" w:rsidTr="00315077">
        <w:trPr>
          <w:jc w:val="center"/>
        </w:trPr>
        <w:tc>
          <w:tcPr>
            <w:tcW w:w="0" w:type="auto"/>
            <w:tcBorders>
              <w:top w:val="nil"/>
              <w:left w:val="nil"/>
              <w:bottom w:val="nil"/>
              <w:right w:val="nil"/>
            </w:tcBorders>
          </w:tcPr>
          <w:p w14:paraId="7410E0A1" w14:textId="77777777" w:rsidR="00315077" w:rsidRPr="001A001A" w:rsidRDefault="00315077" w:rsidP="00315077">
            <w:pPr>
              <w:widowControl w:val="0"/>
              <w:autoSpaceDE w:val="0"/>
              <w:autoSpaceDN w:val="0"/>
              <w:adjustRightInd w:val="0"/>
              <w:rPr>
                <w:sz w:val="20"/>
                <w:szCs w:val="20"/>
              </w:rPr>
            </w:pPr>
            <w:r w:rsidRPr="001A001A">
              <w:rPr>
                <w:sz w:val="20"/>
                <w:szCs w:val="20"/>
              </w:rPr>
              <w:t>Experience: Local</w:t>
            </w:r>
          </w:p>
        </w:tc>
        <w:tc>
          <w:tcPr>
            <w:tcW w:w="0" w:type="auto"/>
            <w:tcBorders>
              <w:top w:val="nil"/>
              <w:left w:val="nil"/>
              <w:bottom w:val="nil"/>
              <w:right w:val="nil"/>
            </w:tcBorders>
          </w:tcPr>
          <w:p w14:paraId="46867A3F"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0.224</w:t>
            </w:r>
          </w:p>
        </w:tc>
        <w:tc>
          <w:tcPr>
            <w:tcW w:w="0" w:type="auto"/>
            <w:tcBorders>
              <w:top w:val="nil"/>
              <w:left w:val="nil"/>
              <w:bottom w:val="nil"/>
              <w:right w:val="nil"/>
            </w:tcBorders>
          </w:tcPr>
          <w:p w14:paraId="300CA32C"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1.472***</w:t>
            </w:r>
          </w:p>
        </w:tc>
        <w:tc>
          <w:tcPr>
            <w:tcW w:w="0" w:type="auto"/>
            <w:tcBorders>
              <w:top w:val="nil"/>
              <w:left w:val="nil"/>
              <w:bottom w:val="nil"/>
              <w:right w:val="nil"/>
            </w:tcBorders>
          </w:tcPr>
          <w:p w14:paraId="6FDC921E"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0.00522</w:t>
            </w:r>
          </w:p>
        </w:tc>
        <w:tc>
          <w:tcPr>
            <w:tcW w:w="0" w:type="auto"/>
            <w:tcBorders>
              <w:top w:val="nil"/>
              <w:left w:val="nil"/>
              <w:bottom w:val="nil"/>
              <w:right w:val="nil"/>
            </w:tcBorders>
          </w:tcPr>
          <w:p w14:paraId="7BDE7F82"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1.490***</w:t>
            </w:r>
          </w:p>
        </w:tc>
        <w:tc>
          <w:tcPr>
            <w:tcW w:w="0" w:type="auto"/>
            <w:tcBorders>
              <w:top w:val="nil"/>
              <w:left w:val="nil"/>
              <w:bottom w:val="nil"/>
              <w:right w:val="nil"/>
            </w:tcBorders>
          </w:tcPr>
          <w:p w14:paraId="21CE8CBF"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0.0965</w:t>
            </w:r>
          </w:p>
        </w:tc>
        <w:tc>
          <w:tcPr>
            <w:tcW w:w="0" w:type="auto"/>
            <w:tcBorders>
              <w:top w:val="nil"/>
              <w:left w:val="nil"/>
              <w:bottom w:val="nil"/>
              <w:right w:val="nil"/>
            </w:tcBorders>
          </w:tcPr>
          <w:p w14:paraId="0BFA523B"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1.447***</w:t>
            </w:r>
          </w:p>
        </w:tc>
        <w:tc>
          <w:tcPr>
            <w:tcW w:w="0" w:type="auto"/>
            <w:tcBorders>
              <w:top w:val="nil"/>
              <w:left w:val="nil"/>
              <w:bottom w:val="nil"/>
              <w:right w:val="nil"/>
            </w:tcBorders>
          </w:tcPr>
          <w:p w14:paraId="1D3168EB"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0.191</w:t>
            </w:r>
          </w:p>
        </w:tc>
        <w:tc>
          <w:tcPr>
            <w:tcW w:w="0" w:type="auto"/>
            <w:tcBorders>
              <w:top w:val="nil"/>
              <w:left w:val="nil"/>
              <w:bottom w:val="nil"/>
              <w:right w:val="nil"/>
            </w:tcBorders>
          </w:tcPr>
          <w:p w14:paraId="0B92BDCA"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1.476***</w:t>
            </w:r>
          </w:p>
        </w:tc>
      </w:tr>
      <w:tr w:rsidR="00315077" w:rsidRPr="001A001A" w14:paraId="23A79EE2" w14:textId="77777777" w:rsidTr="00315077">
        <w:trPr>
          <w:jc w:val="center"/>
        </w:trPr>
        <w:tc>
          <w:tcPr>
            <w:tcW w:w="0" w:type="auto"/>
            <w:tcBorders>
              <w:top w:val="nil"/>
              <w:left w:val="nil"/>
              <w:bottom w:val="nil"/>
              <w:right w:val="nil"/>
            </w:tcBorders>
          </w:tcPr>
          <w:p w14:paraId="4B1C924A" w14:textId="77777777" w:rsidR="00315077" w:rsidRPr="001A001A" w:rsidRDefault="00315077" w:rsidP="00315077">
            <w:pPr>
              <w:widowControl w:val="0"/>
              <w:autoSpaceDE w:val="0"/>
              <w:autoSpaceDN w:val="0"/>
              <w:adjustRightInd w:val="0"/>
              <w:rPr>
                <w:sz w:val="20"/>
                <w:szCs w:val="20"/>
              </w:rPr>
            </w:pPr>
          </w:p>
        </w:tc>
        <w:tc>
          <w:tcPr>
            <w:tcW w:w="0" w:type="auto"/>
            <w:tcBorders>
              <w:top w:val="nil"/>
              <w:left w:val="nil"/>
              <w:bottom w:val="nil"/>
              <w:right w:val="nil"/>
            </w:tcBorders>
          </w:tcPr>
          <w:p w14:paraId="2224FF72"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(0.393)</w:t>
            </w:r>
          </w:p>
        </w:tc>
        <w:tc>
          <w:tcPr>
            <w:tcW w:w="0" w:type="auto"/>
            <w:tcBorders>
              <w:top w:val="nil"/>
              <w:left w:val="nil"/>
              <w:bottom w:val="nil"/>
              <w:right w:val="nil"/>
            </w:tcBorders>
          </w:tcPr>
          <w:p w14:paraId="006874BC"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(0.513)</w:t>
            </w:r>
          </w:p>
        </w:tc>
        <w:tc>
          <w:tcPr>
            <w:tcW w:w="0" w:type="auto"/>
            <w:tcBorders>
              <w:top w:val="nil"/>
              <w:left w:val="nil"/>
              <w:bottom w:val="nil"/>
              <w:right w:val="nil"/>
            </w:tcBorders>
          </w:tcPr>
          <w:p w14:paraId="42530C3D"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(0.386)</w:t>
            </w:r>
          </w:p>
        </w:tc>
        <w:tc>
          <w:tcPr>
            <w:tcW w:w="0" w:type="auto"/>
            <w:tcBorders>
              <w:top w:val="nil"/>
              <w:left w:val="nil"/>
              <w:bottom w:val="nil"/>
              <w:right w:val="nil"/>
            </w:tcBorders>
          </w:tcPr>
          <w:p w14:paraId="070965FE"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(0.518)</w:t>
            </w:r>
          </w:p>
        </w:tc>
        <w:tc>
          <w:tcPr>
            <w:tcW w:w="0" w:type="auto"/>
            <w:tcBorders>
              <w:top w:val="nil"/>
              <w:left w:val="nil"/>
              <w:bottom w:val="nil"/>
              <w:right w:val="nil"/>
            </w:tcBorders>
          </w:tcPr>
          <w:p w14:paraId="0E9A7D5F"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(0.381)</w:t>
            </w:r>
          </w:p>
        </w:tc>
        <w:tc>
          <w:tcPr>
            <w:tcW w:w="0" w:type="auto"/>
            <w:tcBorders>
              <w:top w:val="nil"/>
              <w:left w:val="nil"/>
              <w:bottom w:val="nil"/>
              <w:right w:val="nil"/>
            </w:tcBorders>
          </w:tcPr>
          <w:p w14:paraId="57C84C8C"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(0.514)</w:t>
            </w:r>
          </w:p>
        </w:tc>
        <w:tc>
          <w:tcPr>
            <w:tcW w:w="0" w:type="auto"/>
            <w:tcBorders>
              <w:top w:val="nil"/>
              <w:left w:val="nil"/>
              <w:bottom w:val="nil"/>
              <w:right w:val="nil"/>
            </w:tcBorders>
          </w:tcPr>
          <w:p w14:paraId="3A2D890D"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(0.402)</w:t>
            </w:r>
          </w:p>
        </w:tc>
        <w:tc>
          <w:tcPr>
            <w:tcW w:w="0" w:type="auto"/>
            <w:tcBorders>
              <w:top w:val="nil"/>
              <w:left w:val="nil"/>
              <w:bottom w:val="nil"/>
              <w:right w:val="nil"/>
            </w:tcBorders>
          </w:tcPr>
          <w:p w14:paraId="7FEF8AAA"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(0.520)</w:t>
            </w:r>
          </w:p>
        </w:tc>
      </w:tr>
      <w:tr w:rsidR="00315077" w:rsidRPr="001A001A" w14:paraId="70F2CC95" w14:textId="77777777" w:rsidTr="00315077">
        <w:trPr>
          <w:jc w:val="center"/>
        </w:trPr>
        <w:tc>
          <w:tcPr>
            <w:tcW w:w="0" w:type="auto"/>
            <w:tcBorders>
              <w:top w:val="nil"/>
              <w:left w:val="nil"/>
              <w:bottom w:val="nil"/>
              <w:right w:val="nil"/>
            </w:tcBorders>
          </w:tcPr>
          <w:p w14:paraId="70871924" w14:textId="77777777" w:rsidR="00315077" w:rsidRPr="001A001A" w:rsidRDefault="00315077" w:rsidP="00315077">
            <w:pPr>
              <w:widowControl w:val="0"/>
              <w:autoSpaceDE w:val="0"/>
              <w:autoSpaceDN w:val="0"/>
              <w:adjustRightInd w:val="0"/>
              <w:rPr>
                <w:sz w:val="20"/>
                <w:szCs w:val="20"/>
              </w:rPr>
            </w:pPr>
            <w:r w:rsidRPr="001A001A">
              <w:rPr>
                <w:sz w:val="20"/>
                <w:szCs w:val="20"/>
              </w:rPr>
              <w:t>Leadership Years</w:t>
            </w:r>
          </w:p>
        </w:tc>
        <w:tc>
          <w:tcPr>
            <w:tcW w:w="0" w:type="auto"/>
            <w:tcBorders>
              <w:top w:val="nil"/>
              <w:left w:val="nil"/>
              <w:bottom w:val="nil"/>
              <w:right w:val="nil"/>
            </w:tcBorders>
          </w:tcPr>
          <w:p w14:paraId="09DC8081"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0.0690</w:t>
            </w:r>
          </w:p>
        </w:tc>
        <w:tc>
          <w:tcPr>
            <w:tcW w:w="0" w:type="auto"/>
            <w:tcBorders>
              <w:top w:val="nil"/>
              <w:left w:val="nil"/>
              <w:bottom w:val="nil"/>
              <w:right w:val="nil"/>
            </w:tcBorders>
          </w:tcPr>
          <w:p w14:paraId="6B3A833E"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0.269***</w:t>
            </w:r>
          </w:p>
        </w:tc>
        <w:tc>
          <w:tcPr>
            <w:tcW w:w="0" w:type="auto"/>
            <w:tcBorders>
              <w:top w:val="nil"/>
              <w:left w:val="nil"/>
              <w:bottom w:val="nil"/>
              <w:right w:val="nil"/>
            </w:tcBorders>
          </w:tcPr>
          <w:p w14:paraId="3EC9CC12"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0.0755</w:t>
            </w:r>
          </w:p>
        </w:tc>
        <w:tc>
          <w:tcPr>
            <w:tcW w:w="0" w:type="auto"/>
            <w:tcBorders>
              <w:top w:val="nil"/>
              <w:left w:val="nil"/>
              <w:bottom w:val="nil"/>
              <w:right w:val="nil"/>
            </w:tcBorders>
          </w:tcPr>
          <w:p w14:paraId="5EA6B3C4"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0.278***</w:t>
            </w:r>
          </w:p>
        </w:tc>
        <w:tc>
          <w:tcPr>
            <w:tcW w:w="0" w:type="auto"/>
            <w:tcBorders>
              <w:top w:val="nil"/>
              <w:left w:val="nil"/>
              <w:bottom w:val="nil"/>
              <w:right w:val="nil"/>
            </w:tcBorders>
          </w:tcPr>
          <w:p w14:paraId="3C4B4F41"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0.0587</w:t>
            </w:r>
          </w:p>
        </w:tc>
        <w:tc>
          <w:tcPr>
            <w:tcW w:w="0" w:type="auto"/>
            <w:tcBorders>
              <w:top w:val="nil"/>
              <w:left w:val="nil"/>
              <w:bottom w:val="nil"/>
              <w:right w:val="nil"/>
            </w:tcBorders>
          </w:tcPr>
          <w:p w14:paraId="302C3D6B"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0.250***</w:t>
            </w:r>
          </w:p>
        </w:tc>
        <w:tc>
          <w:tcPr>
            <w:tcW w:w="0" w:type="auto"/>
            <w:tcBorders>
              <w:top w:val="nil"/>
              <w:left w:val="nil"/>
              <w:bottom w:val="nil"/>
              <w:right w:val="nil"/>
            </w:tcBorders>
          </w:tcPr>
          <w:p w14:paraId="2C3CEC51"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0.0412</w:t>
            </w:r>
          </w:p>
        </w:tc>
        <w:tc>
          <w:tcPr>
            <w:tcW w:w="0" w:type="auto"/>
            <w:tcBorders>
              <w:top w:val="nil"/>
              <w:left w:val="nil"/>
              <w:bottom w:val="nil"/>
              <w:right w:val="nil"/>
            </w:tcBorders>
          </w:tcPr>
          <w:p w14:paraId="3842ACFA"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0.243***</w:t>
            </w:r>
          </w:p>
        </w:tc>
      </w:tr>
      <w:tr w:rsidR="00315077" w:rsidRPr="001A001A" w14:paraId="704B8425" w14:textId="77777777" w:rsidTr="00315077">
        <w:trPr>
          <w:jc w:val="center"/>
        </w:trPr>
        <w:tc>
          <w:tcPr>
            <w:tcW w:w="0" w:type="auto"/>
            <w:tcBorders>
              <w:top w:val="nil"/>
              <w:left w:val="nil"/>
              <w:bottom w:val="nil"/>
              <w:right w:val="nil"/>
            </w:tcBorders>
          </w:tcPr>
          <w:p w14:paraId="2D9F6132" w14:textId="77777777" w:rsidR="00315077" w:rsidRPr="001A001A" w:rsidRDefault="00315077" w:rsidP="00315077">
            <w:pPr>
              <w:widowControl w:val="0"/>
              <w:autoSpaceDE w:val="0"/>
              <w:autoSpaceDN w:val="0"/>
              <w:adjustRightInd w:val="0"/>
              <w:rPr>
                <w:sz w:val="20"/>
                <w:szCs w:val="20"/>
              </w:rPr>
            </w:pPr>
          </w:p>
        </w:tc>
        <w:tc>
          <w:tcPr>
            <w:tcW w:w="0" w:type="auto"/>
            <w:tcBorders>
              <w:top w:val="nil"/>
              <w:left w:val="nil"/>
              <w:bottom w:val="nil"/>
              <w:right w:val="nil"/>
            </w:tcBorders>
          </w:tcPr>
          <w:p w14:paraId="566098C0"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(0.0500)</w:t>
            </w:r>
          </w:p>
        </w:tc>
        <w:tc>
          <w:tcPr>
            <w:tcW w:w="0" w:type="auto"/>
            <w:tcBorders>
              <w:top w:val="nil"/>
              <w:left w:val="nil"/>
              <w:bottom w:val="nil"/>
              <w:right w:val="nil"/>
            </w:tcBorders>
          </w:tcPr>
          <w:p w14:paraId="52D0D291"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(0.0880)</w:t>
            </w:r>
          </w:p>
        </w:tc>
        <w:tc>
          <w:tcPr>
            <w:tcW w:w="0" w:type="auto"/>
            <w:tcBorders>
              <w:top w:val="nil"/>
              <w:left w:val="nil"/>
              <w:bottom w:val="nil"/>
              <w:right w:val="nil"/>
            </w:tcBorders>
          </w:tcPr>
          <w:p w14:paraId="302AF632"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(0.0490)</w:t>
            </w:r>
          </w:p>
        </w:tc>
        <w:tc>
          <w:tcPr>
            <w:tcW w:w="0" w:type="auto"/>
            <w:tcBorders>
              <w:top w:val="nil"/>
              <w:left w:val="nil"/>
              <w:bottom w:val="nil"/>
              <w:right w:val="nil"/>
            </w:tcBorders>
          </w:tcPr>
          <w:p w14:paraId="7B3396C1"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(0.0793)</w:t>
            </w:r>
          </w:p>
        </w:tc>
        <w:tc>
          <w:tcPr>
            <w:tcW w:w="0" w:type="auto"/>
            <w:tcBorders>
              <w:top w:val="nil"/>
              <w:left w:val="nil"/>
              <w:bottom w:val="nil"/>
              <w:right w:val="nil"/>
            </w:tcBorders>
          </w:tcPr>
          <w:p w14:paraId="052B6BF8"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(0.0503)</w:t>
            </w:r>
          </w:p>
        </w:tc>
        <w:tc>
          <w:tcPr>
            <w:tcW w:w="0" w:type="auto"/>
            <w:tcBorders>
              <w:top w:val="nil"/>
              <w:left w:val="nil"/>
              <w:bottom w:val="nil"/>
              <w:right w:val="nil"/>
            </w:tcBorders>
          </w:tcPr>
          <w:p w14:paraId="6DD9B453"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(0.0841)</w:t>
            </w:r>
          </w:p>
        </w:tc>
        <w:tc>
          <w:tcPr>
            <w:tcW w:w="0" w:type="auto"/>
            <w:tcBorders>
              <w:top w:val="nil"/>
              <w:left w:val="nil"/>
              <w:bottom w:val="nil"/>
              <w:right w:val="nil"/>
            </w:tcBorders>
          </w:tcPr>
          <w:p w14:paraId="53E7CCF0"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(0.0503)</w:t>
            </w:r>
          </w:p>
        </w:tc>
        <w:tc>
          <w:tcPr>
            <w:tcW w:w="0" w:type="auto"/>
            <w:tcBorders>
              <w:top w:val="nil"/>
              <w:left w:val="nil"/>
              <w:bottom w:val="nil"/>
              <w:right w:val="nil"/>
            </w:tcBorders>
          </w:tcPr>
          <w:p w14:paraId="7EADE588"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(0.0885)</w:t>
            </w:r>
          </w:p>
        </w:tc>
      </w:tr>
      <w:tr w:rsidR="00315077" w:rsidRPr="001A001A" w14:paraId="0ACAE563" w14:textId="77777777" w:rsidTr="00315077">
        <w:trPr>
          <w:jc w:val="center"/>
        </w:trPr>
        <w:tc>
          <w:tcPr>
            <w:tcW w:w="0" w:type="auto"/>
            <w:tcBorders>
              <w:top w:val="nil"/>
              <w:left w:val="nil"/>
              <w:bottom w:val="nil"/>
              <w:right w:val="nil"/>
            </w:tcBorders>
          </w:tcPr>
          <w:p w14:paraId="1C197575" w14:textId="77777777" w:rsidR="00315077" w:rsidRPr="001A001A" w:rsidRDefault="00315077" w:rsidP="00315077">
            <w:pPr>
              <w:widowControl w:val="0"/>
              <w:autoSpaceDE w:val="0"/>
              <w:autoSpaceDN w:val="0"/>
              <w:adjustRightInd w:val="0"/>
              <w:rPr>
                <w:sz w:val="20"/>
                <w:szCs w:val="20"/>
              </w:rPr>
            </w:pPr>
            <w:r w:rsidRPr="001A001A">
              <w:rPr>
                <w:sz w:val="20"/>
                <w:szCs w:val="20"/>
              </w:rPr>
              <w:t>Party School</w:t>
            </w:r>
          </w:p>
        </w:tc>
        <w:tc>
          <w:tcPr>
            <w:tcW w:w="0" w:type="auto"/>
            <w:tcBorders>
              <w:top w:val="nil"/>
              <w:left w:val="nil"/>
              <w:bottom w:val="nil"/>
              <w:right w:val="nil"/>
            </w:tcBorders>
          </w:tcPr>
          <w:p w14:paraId="17BBC047"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-2.722</w:t>
            </w:r>
          </w:p>
        </w:tc>
        <w:tc>
          <w:tcPr>
            <w:tcW w:w="0" w:type="auto"/>
            <w:tcBorders>
              <w:top w:val="nil"/>
              <w:left w:val="nil"/>
              <w:bottom w:val="nil"/>
              <w:right w:val="nil"/>
            </w:tcBorders>
          </w:tcPr>
          <w:p w14:paraId="18CC352B"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0.864</w:t>
            </w:r>
          </w:p>
        </w:tc>
        <w:tc>
          <w:tcPr>
            <w:tcW w:w="0" w:type="auto"/>
            <w:tcBorders>
              <w:top w:val="nil"/>
              <w:left w:val="nil"/>
              <w:bottom w:val="nil"/>
              <w:right w:val="nil"/>
            </w:tcBorders>
          </w:tcPr>
          <w:p w14:paraId="6D207023"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-2.696</w:t>
            </w:r>
          </w:p>
        </w:tc>
        <w:tc>
          <w:tcPr>
            <w:tcW w:w="0" w:type="auto"/>
            <w:tcBorders>
              <w:top w:val="nil"/>
              <w:left w:val="nil"/>
              <w:bottom w:val="nil"/>
              <w:right w:val="nil"/>
            </w:tcBorders>
          </w:tcPr>
          <w:p w14:paraId="107ACD6D"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0.861</w:t>
            </w:r>
          </w:p>
        </w:tc>
        <w:tc>
          <w:tcPr>
            <w:tcW w:w="0" w:type="auto"/>
            <w:tcBorders>
              <w:top w:val="nil"/>
              <w:left w:val="nil"/>
              <w:bottom w:val="nil"/>
              <w:right w:val="nil"/>
            </w:tcBorders>
          </w:tcPr>
          <w:p w14:paraId="522798DA"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-2.378</w:t>
            </w:r>
          </w:p>
        </w:tc>
        <w:tc>
          <w:tcPr>
            <w:tcW w:w="0" w:type="auto"/>
            <w:tcBorders>
              <w:top w:val="nil"/>
              <w:left w:val="nil"/>
              <w:bottom w:val="nil"/>
              <w:right w:val="nil"/>
            </w:tcBorders>
          </w:tcPr>
          <w:p w14:paraId="541FBD42"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0.889</w:t>
            </w:r>
          </w:p>
        </w:tc>
        <w:tc>
          <w:tcPr>
            <w:tcW w:w="0" w:type="auto"/>
            <w:tcBorders>
              <w:top w:val="nil"/>
              <w:left w:val="nil"/>
              <w:bottom w:val="nil"/>
              <w:right w:val="nil"/>
            </w:tcBorders>
          </w:tcPr>
          <w:p w14:paraId="60AC738D"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-2.778</w:t>
            </w:r>
          </w:p>
        </w:tc>
        <w:tc>
          <w:tcPr>
            <w:tcW w:w="0" w:type="auto"/>
            <w:tcBorders>
              <w:top w:val="nil"/>
              <w:left w:val="nil"/>
              <w:bottom w:val="nil"/>
              <w:right w:val="nil"/>
            </w:tcBorders>
          </w:tcPr>
          <w:p w14:paraId="52D9DB9D"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0.840</w:t>
            </w:r>
          </w:p>
        </w:tc>
      </w:tr>
      <w:tr w:rsidR="00315077" w:rsidRPr="001A001A" w14:paraId="3F294DA6" w14:textId="77777777" w:rsidTr="00315077">
        <w:trPr>
          <w:jc w:val="center"/>
        </w:trPr>
        <w:tc>
          <w:tcPr>
            <w:tcW w:w="0" w:type="auto"/>
            <w:tcBorders>
              <w:top w:val="nil"/>
              <w:left w:val="nil"/>
              <w:bottom w:val="nil"/>
              <w:right w:val="nil"/>
            </w:tcBorders>
          </w:tcPr>
          <w:p w14:paraId="24CEC828" w14:textId="77777777" w:rsidR="00315077" w:rsidRPr="001A001A" w:rsidRDefault="00315077" w:rsidP="00315077">
            <w:pPr>
              <w:widowControl w:val="0"/>
              <w:autoSpaceDE w:val="0"/>
              <w:autoSpaceDN w:val="0"/>
              <w:adjustRightInd w:val="0"/>
              <w:rPr>
                <w:sz w:val="20"/>
                <w:szCs w:val="20"/>
              </w:rPr>
            </w:pPr>
          </w:p>
        </w:tc>
        <w:tc>
          <w:tcPr>
            <w:tcW w:w="0" w:type="auto"/>
            <w:tcBorders>
              <w:top w:val="nil"/>
              <w:left w:val="nil"/>
              <w:bottom w:val="nil"/>
              <w:right w:val="nil"/>
            </w:tcBorders>
          </w:tcPr>
          <w:p w14:paraId="2BE15B0F"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(1.761)</w:t>
            </w:r>
          </w:p>
        </w:tc>
        <w:tc>
          <w:tcPr>
            <w:tcW w:w="0" w:type="auto"/>
            <w:tcBorders>
              <w:top w:val="nil"/>
              <w:left w:val="nil"/>
              <w:bottom w:val="nil"/>
              <w:right w:val="nil"/>
            </w:tcBorders>
          </w:tcPr>
          <w:p w14:paraId="7F6F0E96"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(0.618)</w:t>
            </w:r>
          </w:p>
        </w:tc>
        <w:tc>
          <w:tcPr>
            <w:tcW w:w="0" w:type="auto"/>
            <w:tcBorders>
              <w:top w:val="nil"/>
              <w:left w:val="nil"/>
              <w:bottom w:val="nil"/>
              <w:right w:val="nil"/>
            </w:tcBorders>
          </w:tcPr>
          <w:p w14:paraId="628F7CE9"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(1.828)</w:t>
            </w:r>
          </w:p>
        </w:tc>
        <w:tc>
          <w:tcPr>
            <w:tcW w:w="0" w:type="auto"/>
            <w:tcBorders>
              <w:top w:val="nil"/>
              <w:left w:val="nil"/>
              <w:bottom w:val="nil"/>
              <w:right w:val="nil"/>
            </w:tcBorders>
          </w:tcPr>
          <w:p w14:paraId="35B7F08E"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(0.623)</w:t>
            </w:r>
          </w:p>
        </w:tc>
        <w:tc>
          <w:tcPr>
            <w:tcW w:w="0" w:type="auto"/>
            <w:tcBorders>
              <w:top w:val="nil"/>
              <w:left w:val="nil"/>
              <w:bottom w:val="nil"/>
              <w:right w:val="nil"/>
            </w:tcBorders>
          </w:tcPr>
          <w:p w14:paraId="6C943F5D"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(1.637)</w:t>
            </w:r>
          </w:p>
        </w:tc>
        <w:tc>
          <w:tcPr>
            <w:tcW w:w="0" w:type="auto"/>
            <w:tcBorders>
              <w:top w:val="nil"/>
              <w:left w:val="nil"/>
              <w:bottom w:val="nil"/>
              <w:right w:val="nil"/>
            </w:tcBorders>
          </w:tcPr>
          <w:p w14:paraId="0E4FD371"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(0.618)</w:t>
            </w:r>
          </w:p>
        </w:tc>
        <w:tc>
          <w:tcPr>
            <w:tcW w:w="0" w:type="auto"/>
            <w:tcBorders>
              <w:top w:val="nil"/>
              <w:left w:val="nil"/>
              <w:bottom w:val="nil"/>
              <w:right w:val="nil"/>
            </w:tcBorders>
          </w:tcPr>
          <w:p w14:paraId="276F44E2"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(1.792)</w:t>
            </w:r>
          </w:p>
        </w:tc>
        <w:tc>
          <w:tcPr>
            <w:tcW w:w="0" w:type="auto"/>
            <w:tcBorders>
              <w:top w:val="nil"/>
              <w:left w:val="nil"/>
              <w:bottom w:val="nil"/>
              <w:right w:val="nil"/>
            </w:tcBorders>
          </w:tcPr>
          <w:p w14:paraId="72B259BB"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(0.621)</w:t>
            </w:r>
          </w:p>
        </w:tc>
      </w:tr>
      <w:tr w:rsidR="00315077" w:rsidRPr="001A001A" w14:paraId="1ED2C7B7" w14:textId="77777777" w:rsidTr="00315077">
        <w:trPr>
          <w:jc w:val="center"/>
        </w:trPr>
        <w:tc>
          <w:tcPr>
            <w:tcW w:w="0" w:type="auto"/>
            <w:tcBorders>
              <w:top w:val="nil"/>
              <w:left w:val="nil"/>
              <w:bottom w:val="nil"/>
              <w:right w:val="nil"/>
            </w:tcBorders>
          </w:tcPr>
          <w:p w14:paraId="2E94B6BE" w14:textId="77777777" w:rsidR="00315077" w:rsidRPr="001A001A" w:rsidRDefault="00315077" w:rsidP="00315077">
            <w:pPr>
              <w:widowControl w:val="0"/>
              <w:autoSpaceDE w:val="0"/>
              <w:autoSpaceDN w:val="0"/>
              <w:adjustRightInd w:val="0"/>
              <w:rPr>
                <w:sz w:val="20"/>
                <w:szCs w:val="20"/>
              </w:rPr>
            </w:pPr>
            <w:r w:rsidRPr="001A001A">
              <w:rPr>
                <w:sz w:val="20"/>
                <w:szCs w:val="20"/>
              </w:rPr>
              <w:t>Age</w:t>
            </w:r>
          </w:p>
        </w:tc>
        <w:tc>
          <w:tcPr>
            <w:tcW w:w="0" w:type="auto"/>
            <w:tcBorders>
              <w:top w:val="nil"/>
              <w:left w:val="nil"/>
              <w:bottom w:val="nil"/>
              <w:right w:val="nil"/>
            </w:tcBorders>
          </w:tcPr>
          <w:p w14:paraId="1A335DE9"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-3.459***</w:t>
            </w:r>
          </w:p>
        </w:tc>
        <w:tc>
          <w:tcPr>
            <w:tcW w:w="0" w:type="auto"/>
            <w:tcBorders>
              <w:top w:val="nil"/>
              <w:left w:val="nil"/>
              <w:bottom w:val="nil"/>
              <w:right w:val="nil"/>
            </w:tcBorders>
          </w:tcPr>
          <w:p w14:paraId="3FA660AD"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0.816</w:t>
            </w:r>
          </w:p>
        </w:tc>
        <w:tc>
          <w:tcPr>
            <w:tcW w:w="0" w:type="auto"/>
            <w:tcBorders>
              <w:top w:val="nil"/>
              <w:left w:val="nil"/>
              <w:bottom w:val="nil"/>
              <w:right w:val="nil"/>
            </w:tcBorders>
          </w:tcPr>
          <w:p w14:paraId="6CD7AD0E"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-3.648***</w:t>
            </w:r>
          </w:p>
        </w:tc>
        <w:tc>
          <w:tcPr>
            <w:tcW w:w="0" w:type="auto"/>
            <w:tcBorders>
              <w:top w:val="nil"/>
              <w:left w:val="nil"/>
              <w:bottom w:val="nil"/>
              <w:right w:val="nil"/>
            </w:tcBorders>
          </w:tcPr>
          <w:p w14:paraId="2916D49E"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0.819</w:t>
            </w:r>
          </w:p>
        </w:tc>
        <w:tc>
          <w:tcPr>
            <w:tcW w:w="0" w:type="auto"/>
            <w:tcBorders>
              <w:top w:val="nil"/>
              <w:left w:val="nil"/>
              <w:bottom w:val="nil"/>
              <w:right w:val="nil"/>
            </w:tcBorders>
          </w:tcPr>
          <w:p w14:paraId="6BE785D7"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-3.657***</w:t>
            </w:r>
          </w:p>
        </w:tc>
        <w:tc>
          <w:tcPr>
            <w:tcW w:w="0" w:type="auto"/>
            <w:tcBorders>
              <w:top w:val="nil"/>
              <w:left w:val="nil"/>
              <w:bottom w:val="nil"/>
              <w:right w:val="nil"/>
            </w:tcBorders>
          </w:tcPr>
          <w:p w14:paraId="2C067E25"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0.709</w:t>
            </w:r>
          </w:p>
        </w:tc>
        <w:tc>
          <w:tcPr>
            <w:tcW w:w="0" w:type="auto"/>
            <w:tcBorders>
              <w:top w:val="nil"/>
              <w:left w:val="nil"/>
              <w:bottom w:val="nil"/>
              <w:right w:val="nil"/>
            </w:tcBorders>
          </w:tcPr>
          <w:p w14:paraId="102220CB"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-3.549***</w:t>
            </w:r>
          </w:p>
        </w:tc>
        <w:tc>
          <w:tcPr>
            <w:tcW w:w="0" w:type="auto"/>
            <w:tcBorders>
              <w:top w:val="nil"/>
              <w:left w:val="nil"/>
              <w:bottom w:val="nil"/>
              <w:right w:val="nil"/>
            </w:tcBorders>
          </w:tcPr>
          <w:p w14:paraId="0850CCF0"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0.821</w:t>
            </w:r>
          </w:p>
        </w:tc>
      </w:tr>
      <w:tr w:rsidR="00315077" w:rsidRPr="001A001A" w14:paraId="7BCF458D" w14:textId="77777777" w:rsidTr="00315077">
        <w:trPr>
          <w:jc w:val="center"/>
        </w:trPr>
        <w:tc>
          <w:tcPr>
            <w:tcW w:w="0" w:type="auto"/>
            <w:tcBorders>
              <w:top w:val="nil"/>
              <w:left w:val="nil"/>
              <w:bottom w:val="nil"/>
              <w:right w:val="nil"/>
            </w:tcBorders>
          </w:tcPr>
          <w:p w14:paraId="1744779F" w14:textId="77777777" w:rsidR="00315077" w:rsidRPr="001A001A" w:rsidRDefault="00315077" w:rsidP="00315077">
            <w:pPr>
              <w:widowControl w:val="0"/>
              <w:autoSpaceDE w:val="0"/>
              <w:autoSpaceDN w:val="0"/>
              <w:adjustRightInd w:val="0"/>
              <w:rPr>
                <w:sz w:val="20"/>
                <w:szCs w:val="20"/>
              </w:rPr>
            </w:pPr>
          </w:p>
        </w:tc>
        <w:tc>
          <w:tcPr>
            <w:tcW w:w="0" w:type="auto"/>
            <w:tcBorders>
              <w:top w:val="nil"/>
              <w:left w:val="nil"/>
              <w:bottom w:val="nil"/>
              <w:right w:val="nil"/>
            </w:tcBorders>
          </w:tcPr>
          <w:p w14:paraId="38ADD4D2"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(0.649)</w:t>
            </w:r>
          </w:p>
        </w:tc>
        <w:tc>
          <w:tcPr>
            <w:tcW w:w="0" w:type="auto"/>
            <w:tcBorders>
              <w:top w:val="nil"/>
              <w:left w:val="nil"/>
              <w:bottom w:val="nil"/>
              <w:right w:val="nil"/>
            </w:tcBorders>
          </w:tcPr>
          <w:p w14:paraId="7FCA4FC1"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(0.635)</w:t>
            </w:r>
          </w:p>
        </w:tc>
        <w:tc>
          <w:tcPr>
            <w:tcW w:w="0" w:type="auto"/>
            <w:tcBorders>
              <w:top w:val="nil"/>
              <w:left w:val="nil"/>
              <w:bottom w:val="nil"/>
              <w:right w:val="nil"/>
            </w:tcBorders>
          </w:tcPr>
          <w:p w14:paraId="0F62ACA8"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(0.660)</w:t>
            </w:r>
          </w:p>
        </w:tc>
        <w:tc>
          <w:tcPr>
            <w:tcW w:w="0" w:type="auto"/>
            <w:tcBorders>
              <w:top w:val="nil"/>
              <w:left w:val="nil"/>
              <w:bottom w:val="nil"/>
              <w:right w:val="nil"/>
            </w:tcBorders>
          </w:tcPr>
          <w:p w14:paraId="57866127"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(0.622)</w:t>
            </w:r>
          </w:p>
        </w:tc>
        <w:tc>
          <w:tcPr>
            <w:tcW w:w="0" w:type="auto"/>
            <w:tcBorders>
              <w:top w:val="nil"/>
              <w:left w:val="nil"/>
              <w:bottom w:val="nil"/>
              <w:right w:val="nil"/>
            </w:tcBorders>
          </w:tcPr>
          <w:p w14:paraId="5949F0E1"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(0.658)</w:t>
            </w:r>
          </w:p>
        </w:tc>
        <w:tc>
          <w:tcPr>
            <w:tcW w:w="0" w:type="auto"/>
            <w:tcBorders>
              <w:top w:val="nil"/>
              <w:left w:val="nil"/>
              <w:bottom w:val="nil"/>
              <w:right w:val="nil"/>
            </w:tcBorders>
          </w:tcPr>
          <w:p w14:paraId="04AACE2B"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(0.619)</w:t>
            </w:r>
          </w:p>
        </w:tc>
        <w:tc>
          <w:tcPr>
            <w:tcW w:w="0" w:type="auto"/>
            <w:tcBorders>
              <w:top w:val="nil"/>
              <w:left w:val="nil"/>
              <w:bottom w:val="nil"/>
              <w:right w:val="nil"/>
            </w:tcBorders>
          </w:tcPr>
          <w:p w14:paraId="27B406B6"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(0.641)</w:t>
            </w:r>
          </w:p>
        </w:tc>
        <w:tc>
          <w:tcPr>
            <w:tcW w:w="0" w:type="auto"/>
            <w:tcBorders>
              <w:top w:val="nil"/>
              <w:left w:val="nil"/>
              <w:bottom w:val="nil"/>
              <w:right w:val="nil"/>
            </w:tcBorders>
          </w:tcPr>
          <w:p w14:paraId="40724BB5"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(0.627)</w:t>
            </w:r>
          </w:p>
        </w:tc>
      </w:tr>
      <w:tr w:rsidR="00315077" w:rsidRPr="001A001A" w14:paraId="2FA9D50B" w14:textId="77777777" w:rsidTr="00315077">
        <w:trPr>
          <w:jc w:val="center"/>
        </w:trPr>
        <w:tc>
          <w:tcPr>
            <w:tcW w:w="0" w:type="auto"/>
            <w:tcBorders>
              <w:top w:val="nil"/>
              <w:left w:val="nil"/>
              <w:bottom w:val="nil"/>
              <w:right w:val="nil"/>
            </w:tcBorders>
          </w:tcPr>
          <w:p w14:paraId="59AC3A84" w14:textId="77777777" w:rsidR="00315077" w:rsidRPr="001A001A" w:rsidRDefault="00315077" w:rsidP="00315077">
            <w:pPr>
              <w:widowControl w:val="0"/>
              <w:autoSpaceDE w:val="0"/>
              <w:autoSpaceDN w:val="0"/>
              <w:adjustRightInd w:val="0"/>
              <w:rPr>
                <w:sz w:val="20"/>
                <w:szCs w:val="20"/>
              </w:rPr>
            </w:pPr>
            <w:r>
              <w:rPr>
                <w:sz w:val="20"/>
                <w:szCs w:val="20"/>
              </w:rPr>
              <w:t>Age Squared</w:t>
            </w:r>
          </w:p>
        </w:tc>
        <w:tc>
          <w:tcPr>
            <w:tcW w:w="0" w:type="auto"/>
            <w:tcBorders>
              <w:top w:val="nil"/>
              <w:left w:val="nil"/>
              <w:bottom w:val="nil"/>
              <w:right w:val="nil"/>
            </w:tcBorders>
          </w:tcPr>
          <w:p w14:paraId="3F4DC361"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0.0347***</w:t>
            </w:r>
          </w:p>
        </w:tc>
        <w:tc>
          <w:tcPr>
            <w:tcW w:w="0" w:type="auto"/>
            <w:tcBorders>
              <w:top w:val="nil"/>
              <w:left w:val="nil"/>
              <w:bottom w:val="nil"/>
              <w:right w:val="nil"/>
            </w:tcBorders>
          </w:tcPr>
          <w:p w14:paraId="254D2985"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-0.00890</w:t>
            </w:r>
          </w:p>
        </w:tc>
        <w:tc>
          <w:tcPr>
            <w:tcW w:w="0" w:type="auto"/>
            <w:tcBorders>
              <w:top w:val="nil"/>
              <w:left w:val="nil"/>
              <w:bottom w:val="nil"/>
              <w:right w:val="nil"/>
            </w:tcBorders>
          </w:tcPr>
          <w:p w14:paraId="1C3E9F85"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0.0363***</w:t>
            </w:r>
          </w:p>
        </w:tc>
        <w:tc>
          <w:tcPr>
            <w:tcW w:w="0" w:type="auto"/>
            <w:tcBorders>
              <w:top w:val="nil"/>
              <w:left w:val="nil"/>
              <w:bottom w:val="nil"/>
              <w:right w:val="nil"/>
            </w:tcBorders>
          </w:tcPr>
          <w:p w14:paraId="297A80BE"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-0.00894</w:t>
            </w:r>
          </w:p>
        </w:tc>
        <w:tc>
          <w:tcPr>
            <w:tcW w:w="0" w:type="auto"/>
            <w:tcBorders>
              <w:top w:val="nil"/>
              <w:left w:val="nil"/>
              <w:bottom w:val="nil"/>
              <w:right w:val="nil"/>
            </w:tcBorders>
          </w:tcPr>
          <w:p w14:paraId="5BA9C12E"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0.0365***</w:t>
            </w:r>
          </w:p>
        </w:tc>
        <w:tc>
          <w:tcPr>
            <w:tcW w:w="0" w:type="auto"/>
            <w:tcBorders>
              <w:top w:val="nil"/>
              <w:left w:val="nil"/>
              <w:bottom w:val="nil"/>
              <w:right w:val="nil"/>
            </w:tcBorders>
          </w:tcPr>
          <w:p w14:paraId="1A64D87B"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-0.00786</w:t>
            </w:r>
          </w:p>
        </w:tc>
        <w:tc>
          <w:tcPr>
            <w:tcW w:w="0" w:type="auto"/>
            <w:tcBorders>
              <w:top w:val="nil"/>
              <w:left w:val="nil"/>
              <w:bottom w:val="nil"/>
              <w:right w:val="nil"/>
            </w:tcBorders>
          </w:tcPr>
          <w:p w14:paraId="29D1A733"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0.0354***</w:t>
            </w:r>
          </w:p>
        </w:tc>
        <w:tc>
          <w:tcPr>
            <w:tcW w:w="0" w:type="auto"/>
            <w:tcBorders>
              <w:top w:val="nil"/>
              <w:left w:val="nil"/>
              <w:bottom w:val="nil"/>
              <w:right w:val="nil"/>
            </w:tcBorders>
          </w:tcPr>
          <w:p w14:paraId="6B081210"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-0.00894</w:t>
            </w:r>
          </w:p>
        </w:tc>
      </w:tr>
      <w:tr w:rsidR="00315077" w:rsidRPr="001A001A" w14:paraId="7D5ED5E3" w14:textId="77777777" w:rsidTr="00315077">
        <w:trPr>
          <w:jc w:val="center"/>
        </w:trPr>
        <w:tc>
          <w:tcPr>
            <w:tcW w:w="0" w:type="auto"/>
            <w:tcBorders>
              <w:top w:val="nil"/>
              <w:left w:val="nil"/>
              <w:bottom w:val="nil"/>
              <w:right w:val="nil"/>
            </w:tcBorders>
          </w:tcPr>
          <w:p w14:paraId="215EC9C2" w14:textId="77777777" w:rsidR="00315077" w:rsidRPr="001A001A" w:rsidRDefault="00315077" w:rsidP="00315077">
            <w:pPr>
              <w:widowControl w:val="0"/>
              <w:autoSpaceDE w:val="0"/>
              <w:autoSpaceDN w:val="0"/>
              <w:adjustRightInd w:val="0"/>
              <w:rPr>
                <w:sz w:val="20"/>
                <w:szCs w:val="20"/>
              </w:rPr>
            </w:pPr>
          </w:p>
        </w:tc>
        <w:tc>
          <w:tcPr>
            <w:tcW w:w="0" w:type="auto"/>
            <w:tcBorders>
              <w:top w:val="nil"/>
              <w:left w:val="nil"/>
              <w:bottom w:val="nil"/>
              <w:right w:val="nil"/>
            </w:tcBorders>
          </w:tcPr>
          <w:p w14:paraId="4C6EEB3F"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(0.00627)</w:t>
            </w:r>
          </w:p>
        </w:tc>
        <w:tc>
          <w:tcPr>
            <w:tcW w:w="0" w:type="auto"/>
            <w:tcBorders>
              <w:top w:val="nil"/>
              <w:left w:val="nil"/>
              <w:bottom w:val="nil"/>
              <w:right w:val="nil"/>
            </w:tcBorders>
          </w:tcPr>
          <w:p w14:paraId="5643AC92"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(0.00612)</w:t>
            </w:r>
          </w:p>
        </w:tc>
        <w:tc>
          <w:tcPr>
            <w:tcW w:w="0" w:type="auto"/>
            <w:tcBorders>
              <w:top w:val="nil"/>
              <w:left w:val="nil"/>
              <w:bottom w:val="nil"/>
              <w:right w:val="nil"/>
            </w:tcBorders>
          </w:tcPr>
          <w:p w14:paraId="7D405153"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(0.00637)</w:t>
            </w:r>
          </w:p>
        </w:tc>
        <w:tc>
          <w:tcPr>
            <w:tcW w:w="0" w:type="auto"/>
            <w:tcBorders>
              <w:top w:val="nil"/>
              <w:left w:val="nil"/>
              <w:bottom w:val="nil"/>
              <w:right w:val="nil"/>
            </w:tcBorders>
          </w:tcPr>
          <w:p w14:paraId="277CD9C3"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(0.00601)</w:t>
            </w:r>
          </w:p>
        </w:tc>
        <w:tc>
          <w:tcPr>
            <w:tcW w:w="0" w:type="auto"/>
            <w:tcBorders>
              <w:top w:val="nil"/>
              <w:left w:val="nil"/>
              <w:bottom w:val="nil"/>
              <w:right w:val="nil"/>
            </w:tcBorders>
          </w:tcPr>
          <w:p w14:paraId="7BBAC402"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(0.00637)</w:t>
            </w:r>
          </w:p>
        </w:tc>
        <w:tc>
          <w:tcPr>
            <w:tcW w:w="0" w:type="auto"/>
            <w:tcBorders>
              <w:top w:val="nil"/>
              <w:left w:val="nil"/>
              <w:bottom w:val="nil"/>
              <w:right w:val="nil"/>
            </w:tcBorders>
          </w:tcPr>
          <w:p w14:paraId="46FE8D71"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(0.00596)</w:t>
            </w:r>
          </w:p>
        </w:tc>
        <w:tc>
          <w:tcPr>
            <w:tcW w:w="0" w:type="auto"/>
            <w:tcBorders>
              <w:top w:val="nil"/>
              <w:left w:val="nil"/>
              <w:bottom w:val="nil"/>
              <w:right w:val="nil"/>
            </w:tcBorders>
          </w:tcPr>
          <w:p w14:paraId="2E8506B0"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(0.00620)</w:t>
            </w:r>
          </w:p>
        </w:tc>
        <w:tc>
          <w:tcPr>
            <w:tcW w:w="0" w:type="auto"/>
            <w:tcBorders>
              <w:top w:val="nil"/>
              <w:left w:val="nil"/>
              <w:bottom w:val="nil"/>
              <w:right w:val="nil"/>
            </w:tcBorders>
          </w:tcPr>
          <w:p w14:paraId="405E5139"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(0.00605)</w:t>
            </w:r>
          </w:p>
        </w:tc>
      </w:tr>
      <w:tr w:rsidR="00315077" w:rsidRPr="001A001A" w14:paraId="2D7D9BD2" w14:textId="77777777" w:rsidTr="00315077">
        <w:trPr>
          <w:jc w:val="center"/>
        </w:trPr>
        <w:tc>
          <w:tcPr>
            <w:tcW w:w="0" w:type="auto"/>
            <w:tcBorders>
              <w:top w:val="nil"/>
              <w:left w:val="nil"/>
              <w:bottom w:val="nil"/>
              <w:right w:val="nil"/>
            </w:tcBorders>
          </w:tcPr>
          <w:p w14:paraId="3A407208" w14:textId="77777777" w:rsidR="00315077" w:rsidRPr="001A001A" w:rsidRDefault="00315077" w:rsidP="00315077">
            <w:pPr>
              <w:widowControl w:val="0"/>
              <w:autoSpaceDE w:val="0"/>
              <w:autoSpaceDN w:val="0"/>
              <w:adjustRightInd w:val="0"/>
              <w:rPr>
                <w:sz w:val="20"/>
                <w:szCs w:val="20"/>
              </w:rPr>
            </w:pPr>
            <w:r w:rsidRPr="001A001A">
              <w:rPr>
                <w:sz w:val="20"/>
                <w:szCs w:val="20"/>
              </w:rPr>
              <w:t>Graduate Degree</w:t>
            </w:r>
          </w:p>
        </w:tc>
        <w:tc>
          <w:tcPr>
            <w:tcW w:w="0" w:type="auto"/>
            <w:tcBorders>
              <w:top w:val="nil"/>
              <w:left w:val="nil"/>
              <w:bottom w:val="nil"/>
              <w:right w:val="nil"/>
            </w:tcBorders>
          </w:tcPr>
          <w:p w14:paraId="55636D74"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-1.075*</w:t>
            </w:r>
          </w:p>
        </w:tc>
        <w:tc>
          <w:tcPr>
            <w:tcW w:w="0" w:type="auto"/>
            <w:tcBorders>
              <w:top w:val="nil"/>
              <w:left w:val="nil"/>
              <w:bottom w:val="nil"/>
              <w:right w:val="nil"/>
            </w:tcBorders>
          </w:tcPr>
          <w:p w14:paraId="626ADF18"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0.418</w:t>
            </w:r>
          </w:p>
        </w:tc>
        <w:tc>
          <w:tcPr>
            <w:tcW w:w="0" w:type="auto"/>
            <w:tcBorders>
              <w:top w:val="nil"/>
              <w:left w:val="nil"/>
              <w:bottom w:val="nil"/>
              <w:right w:val="nil"/>
            </w:tcBorders>
          </w:tcPr>
          <w:p w14:paraId="38FD8166"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-1.072*</w:t>
            </w:r>
          </w:p>
        </w:tc>
        <w:tc>
          <w:tcPr>
            <w:tcW w:w="0" w:type="auto"/>
            <w:tcBorders>
              <w:top w:val="nil"/>
              <w:left w:val="nil"/>
              <w:bottom w:val="nil"/>
              <w:right w:val="nil"/>
            </w:tcBorders>
          </w:tcPr>
          <w:p w14:paraId="7059EC2F"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0.406</w:t>
            </w:r>
          </w:p>
        </w:tc>
        <w:tc>
          <w:tcPr>
            <w:tcW w:w="0" w:type="auto"/>
            <w:tcBorders>
              <w:top w:val="nil"/>
              <w:left w:val="nil"/>
              <w:bottom w:val="nil"/>
              <w:right w:val="nil"/>
            </w:tcBorders>
          </w:tcPr>
          <w:p w14:paraId="44C6C7E0"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-1.072*</w:t>
            </w:r>
          </w:p>
        </w:tc>
        <w:tc>
          <w:tcPr>
            <w:tcW w:w="0" w:type="auto"/>
            <w:tcBorders>
              <w:top w:val="nil"/>
              <w:left w:val="nil"/>
              <w:bottom w:val="nil"/>
              <w:right w:val="nil"/>
            </w:tcBorders>
          </w:tcPr>
          <w:p w14:paraId="18EEBF82"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0.396</w:t>
            </w:r>
          </w:p>
        </w:tc>
        <w:tc>
          <w:tcPr>
            <w:tcW w:w="0" w:type="auto"/>
            <w:tcBorders>
              <w:top w:val="nil"/>
              <w:left w:val="nil"/>
              <w:bottom w:val="nil"/>
              <w:right w:val="nil"/>
            </w:tcBorders>
          </w:tcPr>
          <w:p w14:paraId="1A359D9E"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-1.055*</w:t>
            </w:r>
          </w:p>
        </w:tc>
        <w:tc>
          <w:tcPr>
            <w:tcW w:w="0" w:type="auto"/>
            <w:tcBorders>
              <w:top w:val="nil"/>
              <w:left w:val="nil"/>
              <w:bottom w:val="nil"/>
              <w:right w:val="nil"/>
            </w:tcBorders>
          </w:tcPr>
          <w:p w14:paraId="15EC8381"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0.394</w:t>
            </w:r>
          </w:p>
        </w:tc>
      </w:tr>
      <w:tr w:rsidR="00315077" w:rsidRPr="001A001A" w14:paraId="5DA3E34E" w14:textId="77777777" w:rsidTr="00315077">
        <w:trPr>
          <w:jc w:val="center"/>
        </w:trPr>
        <w:tc>
          <w:tcPr>
            <w:tcW w:w="0" w:type="auto"/>
            <w:tcBorders>
              <w:top w:val="nil"/>
              <w:left w:val="nil"/>
              <w:bottom w:val="nil"/>
              <w:right w:val="nil"/>
            </w:tcBorders>
          </w:tcPr>
          <w:p w14:paraId="46CF845B" w14:textId="77777777" w:rsidR="00315077" w:rsidRPr="001A001A" w:rsidRDefault="00315077" w:rsidP="00315077">
            <w:pPr>
              <w:widowControl w:val="0"/>
              <w:autoSpaceDE w:val="0"/>
              <w:autoSpaceDN w:val="0"/>
              <w:adjustRightInd w:val="0"/>
              <w:rPr>
                <w:sz w:val="20"/>
                <w:szCs w:val="20"/>
              </w:rPr>
            </w:pPr>
          </w:p>
        </w:tc>
        <w:tc>
          <w:tcPr>
            <w:tcW w:w="0" w:type="auto"/>
            <w:tcBorders>
              <w:top w:val="nil"/>
              <w:left w:val="nil"/>
              <w:bottom w:val="nil"/>
              <w:right w:val="nil"/>
            </w:tcBorders>
          </w:tcPr>
          <w:p w14:paraId="22157253"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(0.566)</w:t>
            </w:r>
          </w:p>
        </w:tc>
        <w:tc>
          <w:tcPr>
            <w:tcW w:w="0" w:type="auto"/>
            <w:tcBorders>
              <w:top w:val="nil"/>
              <w:left w:val="nil"/>
              <w:bottom w:val="nil"/>
              <w:right w:val="nil"/>
            </w:tcBorders>
          </w:tcPr>
          <w:p w14:paraId="2BCF96C5"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(0.425)</w:t>
            </w:r>
          </w:p>
        </w:tc>
        <w:tc>
          <w:tcPr>
            <w:tcW w:w="0" w:type="auto"/>
            <w:tcBorders>
              <w:top w:val="nil"/>
              <w:left w:val="nil"/>
              <w:bottom w:val="nil"/>
              <w:right w:val="nil"/>
            </w:tcBorders>
          </w:tcPr>
          <w:p w14:paraId="55D7DB62"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(0.569)</w:t>
            </w:r>
          </w:p>
        </w:tc>
        <w:tc>
          <w:tcPr>
            <w:tcW w:w="0" w:type="auto"/>
            <w:tcBorders>
              <w:top w:val="nil"/>
              <w:left w:val="nil"/>
              <w:bottom w:val="nil"/>
              <w:right w:val="nil"/>
            </w:tcBorders>
          </w:tcPr>
          <w:p w14:paraId="550813F2"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(0.423)</w:t>
            </w:r>
          </w:p>
        </w:tc>
        <w:tc>
          <w:tcPr>
            <w:tcW w:w="0" w:type="auto"/>
            <w:tcBorders>
              <w:top w:val="nil"/>
              <w:left w:val="nil"/>
              <w:bottom w:val="nil"/>
              <w:right w:val="nil"/>
            </w:tcBorders>
          </w:tcPr>
          <w:p w14:paraId="31F2007C"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(0.580)</w:t>
            </w:r>
          </w:p>
        </w:tc>
        <w:tc>
          <w:tcPr>
            <w:tcW w:w="0" w:type="auto"/>
            <w:tcBorders>
              <w:top w:val="nil"/>
              <w:left w:val="nil"/>
              <w:bottom w:val="nil"/>
              <w:right w:val="nil"/>
            </w:tcBorders>
          </w:tcPr>
          <w:p w14:paraId="2C095929"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(0.428)</w:t>
            </w:r>
          </w:p>
        </w:tc>
        <w:tc>
          <w:tcPr>
            <w:tcW w:w="0" w:type="auto"/>
            <w:tcBorders>
              <w:top w:val="nil"/>
              <w:left w:val="nil"/>
              <w:bottom w:val="nil"/>
              <w:right w:val="nil"/>
            </w:tcBorders>
          </w:tcPr>
          <w:p w14:paraId="7DAE31A3"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(0.555)</w:t>
            </w:r>
          </w:p>
        </w:tc>
        <w:tc>
          <w:tcPr>
            <w:tcW w:w="0" w:type="auto"/>
            <w:tcBorders>
              <w:top w:val="nil"/>
              <w:left w:val="nil"/>
              <w:bottom w:val="nil"/>
              <w:right w:val="nil"/>
            </w:tcBorders>
          </w:tcPr>
          <w:p w14:paraId="1EB33FD0"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(0.428)</w:t>
            </w:r>
          </w:p>
        </w:tc>
      </w:tr>
      <w:tr w:rsidR="00315077" w:rsidRPr="001A001A" w14:paraId="55202ABE" w14:textId="77777777" w:rsidTr="00315077">
        <w:trPr>
          <w:jc w:val="center"/>
        </w:trPr>
        <w:tc>
          <w:tcPr>
            <w:tcW w:w="0" w:type="auto"/>
            <w:tcBorders>
              <w:top w:val="nil"/>
              <w:left w:val="nil"/>
              <w:bottom w:val="nil"/>
              <w:right w:val="nil"/>
            </w:tcBorders>
          </w:tcPr>
          <w:p w14:paraId="735411E2" w14:textId="77777777" w:rsidR="00315077" w:rsidRPr="001A001A" w:rsidRDefault="00315077" w:rsidP="00315077">
            <w:pPr>
              <w:widowControl w:val="0"/>
              <w:autoSpaceDE w:val="0"/>
              <w:autoSpaceDN w:val="0"/>
              <w:adjustRightInd w:val="0"/>
              <w:rPr>
                <w:sz w:val="20"/>
                <w:szCs w:val="20"/>
              </w:rPr>
            </w:pPr>
            <w:r w:rsidRPr="001A001A">
              <w:rPr>
                <w:sz w:val="20"/>
                <w:szCs w:val="20"/>
              </w:rPr>
              <w:t>Xi</w:t>
            </w:r>
          </w:p>
        </w:tc>
        <w:tc>
          <w:tcPr>
            <w:tcW w:w="0" w:type="auto"/>
            <w:tcBorders>
              <w:top w:val="nil"/>
              <w:left w:val="nil"/>
              <w:bottom w:val="nil"/>
              <w:right w:val="nil"/>
            </w:tcBorders>
          </w:tcPr>
          <w:p w14:paraId="7B3EF02D"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-0.228</w:t>
            </w:r>
          </w:p>
        </w:tc>
        <w:tc>
          <w:tcPr>
            <w:tcW w:w="0" w:type="auto"/>
            <w:tcBorders>
              <w:top w:val="nil"/>
              <w:left w:val="nil"/>
              <w:bottom w:val="nil"/>
              <w:right w:val="nil"/>
            </w:tcBorders>
          </w:tcPr>
          <w:p w14:paraId="3890EFE6"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0.0432</w:t>
            </w:r>
          </w:p>
        </w:tc>
        <w:tc>
          <w:tcPr>
            <w:tcW w:w="0" w:type="auto"/>
            <w:tcBorders>
              <w:top w:val="nil"/>
              <w:left w:val="nil"/>
              <w:bottom w:val="nil"/>
              <w:right w:val="nil"/>
            </w:tcBorders>
          </w:tcPr>
          <w:p w14:paraId="2B5026A5"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-0.167</w:t>
            </w:r>
          </w:p>
        </w:tc>
        <w:tc>
          <w:tcPr>
            <w:tcW w:w="0" w:type="auto"/>
            <w:tcBorders>
              <w:top w:val="nil"/>
              <w:left w:val="nil"/>
              <w:bottom w:val="nil"/>
              <w:right w:val="nil"/>
            </w:tcBorders>
          </w:tcPr>
          <w:p w14:paraId="3CE7447C"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0.0475</w:t>
            </w:r>
          </w:p>
        </w:tc>
        <w:tc>
          <w:tcPr>
            <w:tcW w:w="0" w:type="auto"/>
            <w:tcBorders>
              <w:top w:val="nil"/>
              <w:left w:val="nil"/>
              <w:bottom w:val="nil"/>
              <w:right w:val="nil"/>
            </w:tcBorders>
          </w:tcPr>
          <w:p w14:paraId="0F3B19E6"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-0.0764</w:t>
            </w:r>
          </w:p>
        </w:tc>
        <w:tc>
          <w:tcPr>
            <w:tcW w:w="0" w:type="auto"/>
            <w:tcBorders>
              <w:top w:val="nil"/>
              <w:left w:val="nil"/>
              <w:bottom w:val="nil"/>
              <w:right w:val="nil"/>
            </w:tcBorders>
          </w:tcPr>
          <w:p w14:paraId="695D3FA7"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0.104</w:t>
            </w:r>
          </w:p>
        </w:tc>
        <w:tc>
          <w:tcPr>
            <w:tcW w:w="0" w:type="auto"/>
            <w:tcBorders>
              <w:top w:val="nil"/>
              <w:left w:val="nil"/>
              <w:bottom w:val="nil"/>
              <w:right w:val="nil"/>
            </w:tcBorders>
          </w:tcPr>
          <w:p w14:paraId="395FE53A"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-0.182</w:t>
            </w:r>
          </w:p>
        </w:tc>
        <w:tc>
          <w:tcPr>
            <w:tcW w:w="0" w:type="auto"/>
            <w:tcBorders>
              <w:top w:val="nil"/>
              <w:left w:val="nil"/>
              <w:bottom w:val="nil"/>
              <w:right w:val="nil"/>
            </w:tcBorders>
          </w:tcPr>
          <w:p w14:paraId="2EE9A9B4"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0.000607</w:t>
            </w:r>
          </w:p>
        </w:tc>
      </w:tr>
      <w:tr w:rsidR="00315077" w:rsidRPr="001A001A" w14:paraId="248E09D7" w14:textId="77777777" w:rsidTr="00315077">
        <w:trPr>
          <w:jc w:val="center"/>
        </w:trPr>
        <w:tc>
          <w:tcPr>
            <w:tcW w:w="0" w:type="auto"/>
            <w:tcBorders>
              <w:top w:val="nil"/>
              <w:left w:val="nil"/>
              <w:bottom w:val="nil"/>
              <w:right w:val="nil"/>
            </w:tcBorders>
          </w:tcPr>
          <w:p w14:paraId="4E149862" w14:textId="77777777" w:rsidR="00315077" w:rsidRPr="001A001A" w:rsidRDefault="00315077" w:rsidP="00315077">
            <w:pPr>
              <w:widowControl w:val="0"/>
              <w:autoSpaceDE w:val="0"/>
              <w:autoSpaceDN w:val="0"/>
              <w:adjustRightInd w:val="0"/>
              <w:rPr>
                <w:sz w:val="20"/>
                <w:szCs w:val="20"/>
              </w:rPr>
            </w:pPr>
          </w:p>
        </w:tc>
        <w:tc>
          <w:tcPr>
            <w:tcW w:w="0" w:type="auto"/>
            <w:tcBorders>
              <w:top w:val="nil"/>
              <w:left w:val="nil"/>
              <w:bottom w:val="nil"/>
              <w:right w:val="nil"/>
            </w:tcBorders>
          </w:tcPr>
          <w:p w14:paraId="0726CDE2"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(0.327)</w:t>
            </w:r>
          </w:p>
        </w:tc>
        <w:tc>
          <w:tcPr>
            <w:tcW w:w="0" w:type="auto"/>
            <w:tcBorders>
              <w:top w:val="nil"/>
              <w:left w:val="nil"/>
              <w:bottom w:val="nil"/>
              <w:right w:val="nil"/>
            </w:tcBorders>
          </w:tcPr>
          <w:p w14:paraId="76B50840"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(0.418)</w:t>
            </w:r>
          </w:p>
        </w:tc>
        <w:tc>
          <w:tcPr>
            <w:tcW w:w="0" w:type="auto"/>
            <w:tcBorders>
              <w:top w:val="nil"/>
              <w:left w:val="nil"/>
              <w:bottom w:val="nil"/>
              <w:right w:val="nil"/>
            </w:tcBorders>
          </w:tcPr>
          <w:p w14:paraId="1A0A8573"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(0.319)</w:t>
            </w:r>
          </w:p>
        </w:tc>
        <w:tc>
          <w:tcPr>
            <w:tcW w:w="0" w:type="auto"/>
            <w:tcBorders>
              <w:top w:val="nil"/>
              <w:left w:val="nil"/>
              <w:bottom w:val="nil"/>
              <w:right w:val="nil"/>
            </w:tcBorders>
          </w:tcPr>
          <w:p w14:paraId="20AE4C8B"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(0.425)</w:t>
            </w:r>
          </w:p>
        </w:tc>
        <w:tc>
          <w:tcPr>
            <w:tcW w:w="0" w:type="auto"/>
            <w:tcBorders>
              <w:top w:val="nil"/>
              <w:left w:val="nil"/>
              <w:bottom w:val="nil"/>
              <w:right w:val="nil"/>
            </w:tcBorders>
          </w:tcPr>
          <w:p w14:paraId="59BB3A13"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(0.332)</w:t>
            </w:r>
          </w:p>
        </w:tc>
        <w:tc>
          <w:tcPr>
            <w:tcW w:w="0" w:type="auto"/>
            <w:tcBorders>
              <w:top w:val="nil"/>
              <w:left w:val="nil"/>
              <w:bottom w:val="nil"/>
              <w:right w:val="nil"/>
            </w:tcBorders>
          </w:tcPr>
          <w:p w14:paraId="7EAFD2F9"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(0.395)</w:t>
            </w:r>
          </w:p>
        </w:tc>
        <w:tc>
          <w:tcPr>
            <w:tcW w:w="0" w:type="auto"/>
            <w:tcBorders>
              <w:top w:val="nil"/>
              <w:left w:val="nil"/>
              <w:bottom w:val="nil"/>
              <w:right w:val="nil"/>
            </w:tcBorders>
          </w:tcPr>
          <w:p w14:paraId="3A3DA620"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(0.318)</w:t>
            </w:r>
          </w:p>
        </w:tc>
        <w:tc>
          <w:tcPr>
            <w:tcW w:w="0" w:type="auto"/>
            <w:tcBorders>
              <w:top w:val="nil"/>
              <w:left w:val="nil"/>
              <w:bottom w:val="nil"/>
              <w:right w:val="nil"/>
            </w:tcBorders>
          </w:tcPr>
          <w:p w14:paraId="6A1AE347"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(0.412)</w:t>
            </w:r>
          </w:p>
        </w:tc>
      </w:tr>
      <w:tr w:rsidR="00315077" w:rsidRPr="001A001A" w14:paraId="065C3AEB" w14:textId="77777777" w:rsidTr="00315077">
        <w:trPr>
          <w:jc w:val="center"/>
        </w:trPr>
        <w:tc>
          <w:tcPr>
            <w:tcW w:w="0" w:type="auto"/>
            <w:tcBorders>
              <w:top w:val="nil"/>
              <w:left w:val="nil"/>
              <w:bottom w:val="nil"/>
              <w:right w:val="nil"/>
            </w:tcBorders>
          </w:tcPr>
          <w:p w14:paraId="781C37EC" w14:textId="77777777" w:rsidR="00315077" w:rsidRPr="001A001A" w:rsidRDefault="00315077" w:rsidP="00315077">
            <w:pPr>
              <w:widowControl w:val="0"/>
              <w:autoSpaceDE w:val="0"/>
              <w:autoSpaceDN w:val="0"/>
              <w:adjustRightInd w:val="0"/>
              <w:rPr>
                <w:sz w:val="20"/>
                <w:szCs w:val="20"/>
              </w:rPr>
            </w:pPr>
            <w:r w:rsidRPr="001A001A">
              <w:rPr>
                <w:sz w:val="20"/>
                <w:szCs w:val="20"/>
              </w:rPr>
              <w:t>Constant</w:t>
            </w:r>
          </w:p>
        </w:tc>
        <w:tc>
          <w:tcPr>
            <w:tcW w:w="0" w:type="auto"/>
            <w:tcBorders>
              <w:top w:val="nil"/>
              <w:left w:val="nil"/>
              <w:bottom w:val="nil"/>
              <w:right w:val="nil"/>
            </w:tcBorders>
          </w:tcPr>
          <w:p w14:paraId="6D9A4920"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79.92***</w:t>
            </w:r>
          </w:p>
        </w:tc>
        <w:tc>
          <w:tcPr>
            <w:tcW w:w="0" w:type="auto"/>
            <w:tcBorders>
              <w:top w:val="nil"/>
              <w:left w:val="nil"/>
              <w:bottom w:val="nil"/>
              <w:right w:val="nil"/>
            </w:tcBorders>
          </w:tcPr>
          <w:p w14:paraId="52F43C25"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-22.82</w:t>
            </w:r>
          </w:p>
        </w:tc>
        <w:tc>
          <w:tcPr>
            <w:tcW w:w="0" w:type="auto"/>
            <w:tcBorders>
              <w:top w:val="nil"/>
              <w:left w:val="nil"/>
              <w:bottom w:val="nil"/>
              <w:right w:val="nil"/>
            </w:tcBorders>
          </w:tcPr>
          <w:p w14:paraId="7EB44A74"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85.01***</w:t>
            </w:r>
          </w:p>
        </w:tc>
        <w:tc>
          <w:tcPr>
            <w:tcW w:w="0" w:type="auto"/>
            <w:tcBorders>
              <w:top w:val="nil"/>
              <w:left w:val="nil"/>
              <w:bottom w:val="nil"/>
              <w:right w:val="nil"/>
            </w:tcBorders>
          </w:tcPr>
          <w:p w14:paraId="65993D5F"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-22.94</w:t>
            </w:r>
          </w:p>
        </w:tc>
        <w:tc>
          <w:tcPr>
            <w:tcW w:w="0" w:type="auto"/>
            <w:tcBorders>
              <w:top w:val="nil"/>
              <w:left w:val="nil"/>
              <w:bottom w:val="nil"/>
              <w:right w:val="nil"/>
            </w:tcBorders>
          </w:tcPr>
          <w:p w14:paraId="42D461D1"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85.00***</w:t>
            </w:r>
          </w:p>
        </w:tc>
        <w:tc>
          <w:tcPr>
            <w:tcW w:w="0" w:type="auto"/>
            <w:tcBorders>
              <w:top w:val="nil"/>
              <w:left w:val="nil"/>
              <w:bottom w:val="nil"/>
              <w:right w:val="nil"/>
            </w:tcBorders>
          </w:tcPr>
          <w:p w14:paraId="68B975E0"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-19.98</w:t>
            </w:r>
          </w:p>
        </w:tc>
        <w:tc>
          <w:tcPr>
            <w:tcW w:w="0" w:type="auto"/>
            <w:tcBorders>
              <w:top w:val="nil"/>
              <w:left w:val="nil"/>
              <w:bottom w:val="nil"/>
              <w:right w:val="nil"/>
            </w:tcBorders>
          </w:tcPr>
          <w:p w14:paraId="2DEC023F"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82.82***</w:t>
            </w:r>
          </w:p>
        </w:tc>
        <w:tc>
          <w:tcPr>
            <w:tcW w:w="0" w:type="auto"/>
            <w:tcBorders>
              <w:top w:val="nil"/>
              <w:left w:val="nil"/>
              <w:bottom w:val="nil"/>
              <w:right w:val="nil"/>
            </w:tcBorders>
          </w:tcPr>
          <w:p w14:paraId="521EE5A1"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-22.68</w:t>
            </w:r>
          </w:p>
        </w:tc>
      </w:tr>
      <w:tr w:rsidR="00315077" w:rsidRPr="001A001A" w14:paraId="152CFD71" w14:textId="77777777" w:rsidTr="00315077">
        <w:trPr>
          <w:jc w:val="center"/>
        </w:trPr>
        <w:tc>
          <w:tcPr>
            <w:tcW w:w="0" w:type="auto"/>
            <w:tcBorders>
              <w:top w:val="nil"/>
              <w:left w:val="nil"/>
              <w:bottom w:val="nil"/>
              <w:right w:val="nil"/>
            </w:tcBorders>
          </w:tcPr>
          <w:p w14:paraId="1B4CEC4A" w14:textId="77777777" w:rsidR="00315077" w:rsidRPr="001A001A" w:rsidRDefault="00315077" w:rsidP="00315077">
            <w:pPr>
              <w:widowControl w:val="0"/>
              <w:autoSpaceDE w:val="0"/>
              <w:autoSpaceDN w:val="0"/>
              <w:adjustRightInd w:val="0"/>
              <w:rPr>
                <w:sz w:val="20"/>
                <w:szCs w:val="20"/>
              </w:rPr>
            </w:pPr>
          </w:p>
        </w:tc>
        <w:tc>
          <w:tcPr>
            <w:tcW w:w="0" w:type="auto"/>
            <w:tcBorders>
              <w:top w:val="nil"/>
              <w:left w:val="nil"/>
              <w:bottom w:val="nil"/>
              <w:right w:val="nil"/>
            </w:tcBorders>
          </w:tcPr>
          <w:p w14:paraId="71119F15"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(16.29)</w:t>
            </w:r>
          </w:p>
        </w:tc>
        <w:tc>
          <w:tcPr>
            <w:tcW w:w="0" w:type="auto"/>
            <w:tcBorders>
              <w:top w:val="nil"/>
              <w:left w:val="nil"/>
              <w:bottom w:val="nil"/>
              <w:right w:val="nil"/>
            </w:tcBorders>
          </w:tcPr>
          <w:p w14:paraId="4C10DE6A"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(16.33)</w:t>
            </w:r>
          </w:p>
        </w:tc>
        <w:tc>
          <w:tcPr>
            <w:tcW w:w="0" w:type="auto"/>
            <w:tcBorders>
              <w:top w:val="nil"/>
              <w:left w:val="nil"/>
              <w:bottom w:val="nil"/>
              <w:right w:val="nil"/>
            </w:tcBorders>
          </w:tcPr>
          <w:p w14:paraId="3E317707"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(16.56)</w:t>
            </w:r>
          </w:p>
        </w:tc>
        <w:tc>
          <w:tcPr>
            <w:tcW w:w="0" w:type="auto"/>
            <w:tcBorders>
              <w:top w:val="nil"/>
              <w:left w:val="nil"/>
              <w:bottom w:val="nil"/>
              <w:right w:val="nil"/>
            </w:tcBorders>
          </w:tcPr>
          <w:p w14:paraId="0AB01E50"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(15.98)</w:t>
            </w:r>
          </w:p>
        </w:tc>
        <w:tc>
          <w:tcPr>
            <w:tcW w:w="0" w:type="auto"/>
            <w:tcBorders>
              <w:top w:val="nil"/>
              <w:left w:val="nil"/>
              <w:bottom w:val="nil"/>
              <w:right w:val="nil"/>
            </w:tcBorders>
          </w:tcPr>
          <w:p w14:paraId="2187A394"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(16.50)</w:t>
            </w:r>
          </w:p>
        </w:tc>
        <w:tc>
          <w:tcPr>
            <w:tcW w:w="0" w:type="auto"/>
            <w:tcBorders>
              <w:top w:val="nil"/>
              <w:left w:val="nil"/>
              <w:bottom w:val="nil"/>
              <w:right w:val="nil"/>
            </w:tcBorders>
          </w:tcPr>
          <w:p w14:paraId="6B9B274D"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(16.00)</w:t>
            </w:r>
          </w:p>
        </w:tc>
        <w:tc>
          <w:tcPr>
            <w:tcW w:w="0" w:type="auto"/>
            <w:tcBorders>
              <w:top w:val="nil"/>
              <w:left w:val="nil"/>
              <w:bottom w:val="nil"/>
              <w:right w:val="nil"/>
            </w:tcBorders>
          </w:tcPr>
          <w:p w14:paraId="3A3F9A34"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(16.07)</w:t>
            </w:r>
          </w:p>
        </w:tc>
        <w:tc>
          <w:tcPr>
            <w:tcW w:w="0" w:type="auto"/>
            <w:tcBorders>
              <w:top w:val="nil"/>
              <w:left w:val="nil"/>
              <w:bottom w:val="nil"/>
              <w:right w:val="nil"/>
            </w:tcBorders>
          </w:tcPr>
          <w:p w14:paraId="350B7FA7"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(16.12)</w:t>
            </w:r>
          </w:p>
        </w:tc>
      </w:tr>
      <w:tr w:rsidR="00315077" w:rsidRPr="001A001A" w14:paraId="1BE4B441" w14:textId="77777777" w:rsidTr="00315077">
        <w:trPr>
          <w:jc w:val="center"/>
        </w:trPr>
        <w:tc>
          <w:tcPr>
            <w:tcW w:w="0" w:type="auto"/>
            <w:tcBorders>
              <w:top w:val="nil"/>
              <w:left w:val="nil"/>
              <w:bottom w:val="nil"/>
              <w:right w:val="nil"/>
            </w:tcBorders>
          </w:tcPr>
          <w:p w14:paraId="7A038E5F" w14:textId="77777777" w:rsidR="00315077" w:rsidRPr="001A001A" w:rsidRDefault="00315077" w:rsidP="00315077">
            <w:pPr>
              <w:widowControl w:val="0"/>
              <w:autoSpaceDE w:val="0"/>
              <w:autoSpaceDN w:val="0"/>
              <w:adjustRightInd w:val="0"/>
              <w:rPr>
                <w:sz w:val="20"/>
                <w:szCs w:val="20"/>
              </w:rPr>
            </w:pPr>
          </w:p>
        </w:tc>
        <w:tc>
          <w:tcPr>
            <w:tcW w:w="0" w:type="auto"/>
            <w:tcBorders>
              <w:top w:val="nil"/>
              <w:left w:val="nil"/>
              <w:bottom w:val="nil"/>
              <w:right w:val="nil"/>
            </w:tcBorders>
          </w:tcPr>
          <w:p w14:paraId="7579C6CC"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5BCC7CB7"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4ED95504"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029F60CF"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37519D52"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510D2E81"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01BDE1EF" w14:textId="77777777" w:rsidR="00315077" w:rsidRPr="001A001A" w:rsidRDefault="00315077" w:rsidP="00315077">
            <w:pPr>
              <w:widowControl w:val="0"/>
              <w:autoSpaceDE w:val="0"/>
              <w:autoSpaceDN w:val="0"/>
              <w:adjustRightInd w:val="0"/>
              <w:jc w:val="center"/>
              <w:rPr>
                <w:sz w:val="20"/>
                <w:szCs w:val="20"/>
              </w:rPr>
            </w:pPr>
          </w:p>
        </w:tc>
        <w:tc>
          <w:tcPr>
            <w:tcW w:w="0" w:type="auto"/>
            <w:tcBorders>
              <w:top w:val="nil"/>
              <w:left w:val="nil"/>
              <w:bottom w:val="nil"/>
              <w:right w:val="nil"/>
            </w:tcBorders>
          </w:tcPr>
          <w:p w14:paraId="6C9143D8" w14:textId="77777777" w:rsidR="00315077" w:rsidRPr="001A001A" w:rsidRDefault="00315077" w:rsidP="00315077">
            <w:pPr>
              <w:widowControl w:val="0"/>
              <w:autoSpaceDE w:val="0"/>
              <w:autoSpaceDN w:val="0"/>
              <w:adjustRightInd w:val="0"/>
              <w:jc w:val="center"/>
              <w:rPr>
                <w:sz w:val="20"/>
                <w:szCs w:val="20"/>
              </w:rPr>
            </w:pPr>
          </w:p>
        </w:tc>
      </w:tr>
      <w:tr w:rsidR="00315077" w:rsidRPr="001A001A" w14:paraId="73A679C4" w14:textId="77777777" w:rsidTr="00315077">
        <w:trPr>
          <w:jc w:val="center"/>
        </w:trPr>
        <w:tc>
          <w:tcPr>
            <w:tcW w:w="0" w:type="auto"/>
            <w:tcBorders>
              <w:top w:val="nil"/>
              <w:left w:val="nil"/>
              <w:bottom w:val="nil"/>
              <w:right w:val="nil"/>
            </w:tcBorders>
          </w:tcPr>
          <w:p w14:paraId="2FE3D2B1" w14:textId="77777777" w:rsidR="00315077" w:rsidRPr="001A001A" w:rsidRDefault="00315077" w:rsidP="00315077">
            <w:pPr>
              <w:widowControl w:val="0"/>
              <w:autoSpaceDE w:val="0"/>
              <w:autoSpaceDN w:val="0"/>
              <w:adjustRightInd w:val="0"/>
              <w:rPr>
                <w:sz w:val="20"/>
                <w:szCs w:val="20"/>
              </w:rPr>
            </w:pPr>
            <w:r w:rsidRPr="001A001A">
              <w:rPr>
                <w:sz w:val="20"/>
                <w:szCs w:val="20"/>
              </w:rPr>
              <w:t>Observations</w:t>
            </w:r>
          </w:p>
        </w:tc>
        <w:tc>
          <w:tcPr>
            <w:tcW w:w="0" w:type="auto"/>
            <w:tcBorders>
              <w:top w:val="nil"/>
              <w:left w:val="nil"/>
              <w:bottom w:val="nil"/>
              <w:right w:val="nil"/>
            </w:tcBorders>
          </w:tcPr>
          <w:p w14:paraId="5216A92A"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1,044</w:t>
            </w:r>
          </w:p>
        </w:tc>
        <w:tc>
          <w:tcPr>
            <w:tcW w:w="0" w:type="auto"/>
            <w:tcBorders>
              <w:top w:val="nil"/>
              <w:left w:val="nil"/>
              <w:bottom w:val="nil"/>
              <w:right w:val="nil"/>
            </w:tcBorders>
          </w:tcPr>
          <w:p w14:paraId="4A649A6E"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1,044</w:t>
            </w:r>
          </w:p>
        </w:tc>
        <w:tc>
          <w:tcPr>
            <w:tcW w:w="0" w:type="auto"/>
            <w:tcBorders>
              <w:top w:val="nil"/>
              <w:left w:val="nil"/>
              <w:bottom w:val="nil"/>
              <w:right w:val="nil"/>
            </w:tcBorders>
          </w:tcPr>
          <w:p w14:paraId="10855690"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1,044</w:t>
            </w:r>
          </w:p>
        </w:tc>
        <w:tc>
          <w:tcPr>
            <w:tcW w:w="0" w:type="auto"/>
            <w:tcBorders>
              <w:top w:val="nil"/>
              <w:left w:val="nil"/>
              <w:bottom w:val="nil"/>
              <w:right w:val="nil"/>
            </w:tcBorders>
          </w:tcPr>
          <w:p w14:paraId="66569BAA"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1,044</w:t>
            </w:r>
          </w:p>
        </w:tc>
        <w:tc>
          <w:tcPr>
            <w:tcW w:w="0" w:type="auto"/>
            <w:tcBorders>
              <w:top w:val="nil"/>
              <w:left w:val="nil"/>
              <w:bottom w:val="nil"/>
              <w:right w:val="nil"/>
            </w:tcBorders>
          </w:tcPr>
          <w:p w14:paraId="239EC24B"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1,044</w:t>
            </w:r>
          </w:p>
        </w:tc>
        <w:tc>
          <w:tcPr>
            <w:tcW w:w="0" w:type="auto"/>
            <w:tcBorders>
              <w:top w:val="nil"/>
              <w:left w:val="nil"/>
              <w:bottom w:val="nil"/>
              <w:right w:val="nil"/>
            </w:tcBorders>
          </w:tcPr>
          <w:p w14:paraId="1C90828D"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1,044</w:t>
            </w:r>
          </w:p>
        </w:tc>
        <w:tc>
          <w:tcPr>
            <w:tcW w:w="0" w:type="auto"/>
            <w:tcBorders>
              <w:top w:val="nil"/>
              <w:left w:val="nil"/>
              <w:bottom w:val="nil"/>
              <w:right w:val="nil"/>
            </w:tcBorders>
          </w:tcPr>
          <w:p w14:paraId="6EED23C0"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1,044</w:t>
            </w:r>
          </w:p>
        </w:tc>
        <w:tc>
          <w:tcPr>
            <w:tcW w:w="0" w:type="auto"/>
            <w:tcBorders>
              <w:top w:val="nil"/>
              <w:left w:val="nil"/>
              <w:bottom w:val="nil"/>
              <w:right w:val="nil"/>
            </w:tcBorders>
          </w:tcPr>
          <w:p w14:paraId="1A81765C"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1,044</w:t>
            </w:r>
          </w:p>
        </w:tc>
      </w:tr>
      <w:tr w:rsidR="00315077" w:rsidRPr="001A001A" w14:paraId="5E13EF4C" w14:textId="77777777" w:rsidTr="00315077">
        <w:tblPrEx>
          <w:tblBorders>
            <w:bottom w:val="single" w:sz="6" w:space="0" w:color="auto"/>
          </w:tblBorders>
        </w:tblPrEx>
        <w:trPr>
          <w:jc w:val="center"/>
        </w:trPr>
        <w:tc>
          <w:tcPr>
            <w:tcW w:w="0" w:type="auto"/>
            <w:tcBorders>
              <w:top w:val="nil"/>
              <w:left w:val="nil"/>
              <w:bottom w:val="single" w:sz="6" w:space="0" w:color="auto"/>
              <w:right w:val="nil"/>
            </w:tcBorders>
          </w:tcPr>
          <w:p w14:paraId="549A45F1" w14:textId="77777777" w:rsidR="00315077" w:rsidRPr="001A001A" w:rsidRDefault="00315077" w:rsidP="00315077">
            <w:pPr>
              <w:widowControl w:val="0"/>
              <w:autoSpaceDE w:val="0"/>
              <w:autoSpaceDN w:val="0"/>
              <w:adjustRightInd w:val="0"/>
              <w:rPr>
                <w:sz w:val="20"/>
                <w:szCs w:val="20"/>
              </w:rPr>
            </w:pPr>
            <w:r w:rsidRPr="001A001A">
              <w:rPr>
                <w:sz w:val="20"/>
                <w:szCs w:val="20"/>
              </w:rPr>
              <w:t>Pseudo R2</w:t>
            </w:r>
          </w:p>
        </w:tc>
        <w:tc>
          <w:tcPr>
            <w:tcW w:w="0" w:type="auto"/>
            <w:tcBorders>
              <w:top w:val="nil"/>
              <w:left w:val="nil"/>
              <w:bottom w:val="single" w:sz="6" w:space="0" w:color="auto"/>
              <w:right w:val="nil"/>
            </w:tcBorders>
          </w:tcPr>
          <w:p w14:paraId="3D7A2490"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0.336</w:t>
            </w:r>
          </w:p>
        </w:tc>
        <w:tc>
          <w:tcPr>
            <w:tcW w:w="0" w:type="auto"/>
            <w:tcBorders>
              <w:top w:val="nil"/>
              <w:left w:val="nil"/>
              <w:bottom w:val="single" w:sz="6" w:space="0" w:color="auto"/>
              <w:right w:val="nil"/>
            </w:tcBorders>
          </w:tcPr>
          <w:p w14:paraId="11D98560"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0.336</w:t>
            </w:r>
          </w:p>
        </w:tc>
        <w:tc>
          <w:tcPr>
            <w:tcW w:w="0" w:type="auto"/>
            <w:tcBorders>
              <w:top w:val="nil"/>
              <w:left w:val="nil"/>
              <w:bottom w:val="single" w:sz="6" w:space="0" w:color="auto"/>
              <w:right w:val="nil"/>
            </w:tcBorders>
          </w:tcPr>
          <w:p w14:paraId="60DE7E47"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0.335</w:t>
            </w:r>
          </w:p>
        </w:tc>
        <w:tc>
          <w:tcPr>
            <w:tcW w:w="0" w:type="auto"/>
            <w:tcBorders>
              <w:top w:val="nil"/>
              <w:left w:val="nil"/>
              <w:bottom w:val="single" w:sz="6" w:space="0" w:color="auto"/>
              <w:right w:val="nil"/>
            </w:tcBorders>
          </w:tcPr>
          <w:p w14:paraId="529F51CB"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0.335</w:t>
            </w:r>
          </w:p>
        </w:tc>
        <w:tc>
          <w:tcPr>
            <w:tcW w:w="0" w:type="auto"/>
            <w:tcBorders>
              <w:top w:val="nil"/>
              <w:left w:val="nil"/>
              <w:bottom w:val="single" w:sz="6" w:space="0" w:color="auto"/>
              <w:right w:val="nil"/>
            </w:tcBorders>
          </w:tcPr>
          <w:p w14:paraId="4511B715"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0.335</w:t>
            </w:r>
          </w:p>
        </w:tc>
        <w:tc>
          <w:tcPr>
            <w:tcW w:w="0" w:type="auto"/>
            <w:tcBorders>
              <w:top w:val="nil"/>
              <w:left w:val="nil"/>
              <w:bottom w:val="single" w:sz="6" w:space="0" w:color="auto"/>
              <w:right w:val="nil"/>
            </w:tcBorders>
          </w:tcPr>
          <w:p w14:paraId="53A96E67"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0.335</w:t>
            </w:r>
          </w:p>
        </w:tc>
        <w:tc>
          <w:tcPr>
            <w:tcW w:w="0" w:type="auto"/>
            <w:tcBorders>
              <w:top w:val="nil"/>
              <w:left w:val="nil"/>
              <w:bottom w:val="single" w:sz="6" w:space="0" w:color="auto"/>
              <w:right w:val="nil"/>
            </w:tcBorders>
          </w:tcPr>
          <w:p w14:paraId="25FD5417"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0.338</w:t>
            </w:r>
          </w:p>
        </w:tc>
        <w:tc>
          <w:tcPr>
            <w:tcW w:w="0" w:type="auto"/>
            <w:tcBorders>
              <w:top w:val="nil"/>
              <w:left w:val="nil"/>
              <w:bottom w:val="single" w:sz="6" w:space="0" w:color="auto"/>
              <w:right w:val="nil"/>
            </w:tcBorders>
          </w:tcPr>
          <w:p w14:paraId="028FB4B3" w14:textId="77777777" w:rsidR="00315077" w:rsidRPr="001A001A" w:rsidRDefault="00315077" w:rsidP="00315077">
            <w:pPr>
              <w:widowControl w:val="0"/>
              <w:autoSpaceDE w:val="0"/>
              <w:autoSpaceDN w:val="0"/>
              <w:adjustRightInd w:val="0"/>
              <w:jc w:val="center"/>
              <w:rPr>
                <w:sz w:val="20"/>
                <w:szCs w:val="20"/>
              </w:rPr>
            </w:pPr>
            <w:r w:rsidRPr="001A001A">
              <w:rPr>
                <w:sz w:val="20"/>
                <w:szCs w:val="20"/>
              </w:rPr>
              <w:t>0.338</w:t>
            </w:r>
          </w:p>
        </w:tc>
      </w:tr>
    </w:tbl>
    <w:p w14:paraId="3DD02043" w14:textId="77777777" w:rsidR="00315077" w:rsidRPr="00971912" w:rsidRDefault="00315077" w:rsidP="00315077">
      <w:pPr>
        <w:widowControl w:val="0"/>
        <w:autoSpaceDE w:val="0"/>
        <w:autoSpaceDN w:val="0"/>
        <w:adjustRightInd w:val="0"/>
        <w:jc w:val="center"/>
        <w:rPr>
          <w:sz w:val="20"/>
          <w:szCs w:val="20"/>
        </w:rPr>
      </w:pPr>
      <w:r w:rsidRPr="00971912">
        <w:rPr>
          <w:sz w:val="20"/>
          <w:szCs w:val="20"/>
        </w:rPr>
        <w:t>Robust standard errors in parentheses</w:t>
      </w:r>
    </w:p>
    <w:p w14:paraId="74727929" w14:textId="77777777" w:rsidR="00315077" w:rsidRPr="00971912" w:rsidRDefault="00315077" w:rsidP="00315077">
      <w:pPr>
        <w:widowControl w:val="0"/>
        <w:autoSpaceDE w:val="0"/>
        <w:autoSpaceDN w:val="0"/>
        <w:adjustRightInd w:val="0"/>
        <w:jc w:val="center"/>
        <w:rPr>
          <w:sz w:val="20"/>
          <w:szCs w:val="20"/>
        </w:rPr>
      </w:pPr>
      <w:r w:rsidRPr="00971912">
        <w:rPr>
          <w:sz w:val="20"/>
          <w:szCs w:val="20"/>
        </w:rPr>
        <w:t>*** p&lt;0.01, ** p&lt;0.05, * p&lt;0.1</w:t>
      </w:r>
    </w:p>
    <w:p w14:paraId="669F1D64" w14:textId="77777777" w:rsidR="00315077" w:rsidRPr="00971912" w:rsidRDefault="00315077" w:rsidP="00315077">
      <w:pPr>
        <w:widowControl w:val="0"/>
        <w:autoSpaceDE w:val="0"/>
        <w:autoSpaceDN w:val="0"/>
        <w:adjustRightInd w:val="0"/>
        <w:jc w:val="center"/>
        <w:rPr>
          <w:sz w:val="20"/>
          <w:szCs w:val="20"/>
        </w:rPr>
      </w:pPr>
      <w:r w:rsidRPr="00971912">
        <w:rPr>
          <w:sz w:val="20"/>
          <w:szCs w:val="20"/>
        </w:rPr>
        <w:t>Models with ROA include foreign exchange indicator for data source</w:t>
      </w:r>
      <w:r w:rsidRPr="00D75E5D">
        <w:rPr>
          <w:sz w:val="20"/>
          <w:szCs w:val="20"/>
        </w:rPr>
        <w:t xml:space="preserve"> and industry fixed effects</w:t>
      </w:r>
      <w:r w:rsidRPr="00971912">
        <w:rPr>
          <w:sz w:val="20"/>
          <w:szCs w:val="20"/>
        </w:rPr>
        <w:t>.</w:t>
      </w:r>
    </w:p>
    <w:p w14:paraId="01377D25" w14:textId="77777777" w:rsidR="00315077" w:rsidRPr="003E4B63" w:rsidRDefault="00315077" w:rsidP="00315077">
      <w:pPr>
        <w:sectPr w:rsidR="00315077" w:rsidRPr="003E4B63" w:rsidSect="00315077">
          <w:pgSz w:w="15840" w:h="12240" w:orient="landscape"/>
          <w:pgMar w:top="720" w:right="720" w:bottom="720" w:left="720" w:header="720" w:footer="720" w:gutter="0"/>
          <w:cols w:space="720"/>
          <w:docGrid w:linePitch="360"/>
        </w:sectPr>
      </w:pPr>
    </w:p>
    <w:p w14:paraId="48C89290" w14:textId="77777777" w:rsidR="00315077" w:rsidRPr="00127C2E" w:rsidRDefault="00315077" w:rsidP="00315077">
      <w:pPr>
        <w:spacing w:after="160" w:line="259" w:lineRule="auto"/>
        <w:jc w:val="center"/>
        <w:rPr>
          <w:rFonts w:eastAsia="SimSun"/>
          <w:b/>
          <w:bCs/>
        </w:rPr>
      </w:pPr>
      <w:r w:rsidRPr="00127C2E">
        <w:rPr>
          <w:rFonts w:eastAsia="SimSun"/>
          <w:b/>
          <w:bCs/>
        </w:rPr>
        <w:lastRenderedPageBreak/>
        <w:t>Table A8: Discrete Time Analysis</w:t>
      </w:r>
    </w:p>
    <w:tbl>
      <w:tblPr>
        <w:tblW w:w="0" w:type="auto"/>
        <w:jc w:val="center"/>
        <w:tblLayout w:type="fixed"/>
        <w:tblCellMar>
          <w:left w:w="75" w:type="dxa"/>
          <w:right w:w="75" w:type="dxa"/>
        </w:tblCellMar>
        <w:tblLook w:val="0000" w:firstRow="0" w:lastRow="0" w:firstColumn="0" w:lastColumn="0" w:noHBand="0" w:noVBand="0"/>
      </w:tblPr>
      <w:tblGrid>
        <w:gridCol w:w="4539"/>
        <w:gridCol w:w="1296"/>
        <w:gridCol w:w="1296"/>
        <w:gridCol w:w="1296"/>
      </w:tblGrid>
      <w:tr w:rsidR="00315077" w14:paraId="45ED7040" w14:textId="77777777" w:rsidTr="00315077">
        <w:trPr>
          <w:jc w:val="center"/>
        </w:trPr>
        <w:tc>
          <w:tcPr>
            <w:tcW w:w="4539" w:type="dxa"/>
            <w:tcBorders>
              <w:top w:val="single" w:sz="6" w:space="0" w:color="auto"/>
              <w:left w:val="nil"/>
              <w:bottom w:val="nil"/>
              <w:right w:val="nil"/>
            </w:tcBorders>
          </w:tcPr>
          <w:p w14:paraId="51AB78E7" w14:textId="77777777" w:rsidR="00315077" w:rsidRDefault="00315077" w:rsidP="00315077">
            <w:pPr>
              <w:widowControl w:val="0"/>
              <w:autoSpaceDE w:val="0"/>
              <w:autoSpaceDN w:val="0"/>
              <w:adjustRightInd w:val="0"/>
            </w:pPr>
          </w:p>
        </w:tc>
        <w:tc>
          <w:tcPr>
            <w:tcW w:w="1296" w:type="dxa"/>
            <w:tcBorders>
              <w:top w:val="single" w:sz="6" w:space="0" w:color="auto"/>
              <w:left w:val="nil"/>
              <w:bottom w:val="nil"/>
              <w:right w:val="nil"/>
            </w:tcBorders>
          </w:tcPr>
          <w:p w14:paraId="3A4A0C03" w14:textId="77777777" w:rsidR="00315077" w:rsidRDefault="00315077" w:rsidP="00315077">
            <w:pPr>
              <w:widowControl w:val="0"/>
              <w:autoSpaceDE w:val="0"/>
              <w:autoSpaceDN w:val="0"/>
              <w:adjustRightInd w:val="0"/>
              <w:jc w:val="center"/>
            </w:pPr>
            <w:r>
              <w:t>Exit</w:t>
            </w:r>
          </w:p>
        </w:tc>
        <w:tc>
          <w:tcPr>
            <w:tcW w:w="1296" w:type="dxa"/>
            <w:tcBorders>
              <w:top w:val="single" w:sz="6" w:space="0" w:color="auto"/>
              <w:left w:val="nil"/>
              <w:bottom w:val="nil"/>
              <w:right w:val="nil"/>
            </w:tcBorders>
          </w:tcPr>
          <w:p w14:paraId="45BB9D9D" w14:textId="77777777" w:rsidR="00315077" w:rsidRDefault="00315077" w:rsidP="00315077">
            <w:pPr>
              <w:widowControl w:val="0"/>
              <w:autoSpaceDE w:val="0"/>
              <w:autoSpaceDN w:val="0"/>
              <w:adjustRightInd w:val="0"/>
              <w:jc w:val="center"/>
            </w:pPr>
            <w:r>
              <w:t>Fitted Odds</w:t>
            </w:r>
          </w:p>
        </w:tc>
        <w:tc>
          <w:tcPr>
            <w:tcW w:w="1296" w:type="dxa"/>
            <w:tcBorders>
              <w:top w:val="single" w:sz="6" w:space="0" w:color="auto"/>
              <w:left w:val="nil"/>
              <w:bottom w:val="nil"/>
              <w:right w:val="nil"/>
            </w:tcBorders>
          </w:tcPr>
          <w:p w14:paraId="499A77A9" w14:textId="77777777" w:rsidR="00315077" w:rsidRDefault="00315077" w:rsidP="00315077">
            <w:pPr>
              <w:widowControl w:val="0"/>
              <w:autoSpaceDE w:val="0"/>
              <w:autoSpaceDN w:val="0"/>
              <w:adjustRightInd w:val="0"/>
              <w:jc w:val="center"/>
            </w:pPr>
            <w:r>
              <w:t>Fitted Hazard</w:t>
            </w:r>
          </w:p>
        </w:tc>
      </w:tr>
      <w:tr w:rsidR="00315077" w14:paraId="4A377B8A" w14:textId="77777777" w:rsidTr="00315077">
        <w:trPr>
          <w:jc w:val="center"/>
        </w:trPr>
        <w:tc>
          <w:tcPr>
            <w:tcW w:w="4539" w:type="dxa"/>
            <w:tcBorders>
              <w:top w:val="nil"/>
              <w:left w:val="nil"/>
              <w:bottom w:val="single" w:sz="6" w:space="0" w:color="auto"/>
              <w:right w:val="nil"/>
            </w:tcBorders>
          </w:tcPr>
          <w:p w14:paraId="40F829A2" w14:textId="77777777" w:rsidR="00315077" w:rsidRDefault="00315077" w:rsidP="00315077">
            <w:pPr>
              <w:widowControl w:val="0"/>
              <w:autoSpaceDE w:val="0"/>
              <w:autoSpaceDN w:val="0"/>
              <w:adjustRightInd w:val="0"/>
            </w:pPr>
            <w:r>
              <w:t>Leadership Year</w:t>
            </w:r>
          </w:p>
        </w:tc>
        <w:tc>
          <w:tcPr>
            <w:tcW w:w="1296" w:type="dxa"/>
            <w:tcBorders>
              <w:top w:val="nil"/>
              <w:left w:val="nil"/>
              <w:bottom w:val="single" w:sz="6" w:space="0" w:color="auto"/>
              <w:right w:val="nil"/>
            </w:tcBorders>
          </w:tcPr>
          <w:p w14:paraId="0B61F24A" w14:textId="77777777" w:rsidR="00315077" w:rsidRDefault="00315077" w:rsidP="00315077">
            <w:pPr>
              <w:widowControl w:val="0"/>
              <w:autoSpaceDE w:val="0"/>
              <w:autoSpaceDN w:val="0"/>
              <w:adjustRightInd w:val="0"/>
              <w:jc w:val="center"/>
            </w:pPr>
            <w:r>
              <w:t>(</w:t>
            </w:r>
            <w:proofErr w:type="spellStart"/>
            <w:r>
              <w:t>â</w:t>
            </w:r>
            <w:r>
              <w:rPr>
                <w:vertAlign w:val="subscript"/>
              </w:rPr>
              <w:t>j</w:t>
            </w:r>
            <w:proofErr w:type="spellEnd"/>
            <w:r>
              <w:t>)</w:t>
            </w:r>
          </w:p>
        </w:tc>
        <w:tc>
          <w:tcPr>
            <w:tcW w:w="1296" w:type="dxa"/>
            <w:tcBorders>
              <w:top w:val="nil"/>
              <w:left w:val="nil"/>
              <w:bottom w:val="single" w:sz="6" w:space="0" w:color="auto"/>
              <w:right w:val="nil"/>
            </w:tcBorders>
          </w:tcPr>
          <w:p w14:paraId="4798AA78" w14:textId="77777777" w:rsidR="00315077" w:rsidRPr="006724BA" w:rsidRDefault="00315077" w:rsidP="00315077">
            <w:pPr>
              <w:widowControl w:val="0"/>
              <w:autoSpaceDE w:val="0"/>
              <w:autoSpaceDN w:val="0"/>
              <w:adjustRightInd w:val="0"/>
              <w:jc w:val="center"/>
              <w:rPr>
                <w:vertAlign w:val="superscript"/>
              </w:rPr>
            </w:pPr>
            <w:r>
              <w:t>e</w:t>
            </w:r>
            <w:r>
              <w:rPr>
                <w:vertAlign w:val="superscript"/>
              </w:rPr>
              <w:t>(</w:t>
            </w:r>
            <w:proofErr w:type="spellStart"/>
            <w:r>
              <w:rPr>
                <w:vertAlign w:val="superscript"/>
              </w:rPr>
              <w:t>áj</w:t>
            </w:r>
            <w:proofErr w:type="spellEnd"/>
            <w:r>
              <w:rPr>
                <w:vertAlign w:val="superscript"/>
              </w:rPr>
              <w:t>)</w:t>
            </w:r>
          </w:p>
        </w:tc>
        <w:tc>
          <w:tcPr>
            <w:tcW w:w="1296" w:type="dxa"/>
            <w:tcBorders>
              <w:top w:val="nil"/>
              <w:left w:val="nil"/>
              <w:bottom w:val="single" w:sz="6" w:space="0" w:color="auto"/>
              <w:right w:val="nil"/>
            </w:tcBorders>
          </w:tcPr>
          <w:p w14:paraId="46D0902A" w14:textId="77777777" w:rsidR="00315077" w:rsidRPr="006724BA" w:rsidRDefault="00315077" w:rsidP="00315077">
            <w:pPr>
              <w:widowControl w:val="0"/>
              <w:autoSpaceDE w:val="0"/>
              <w:autoSpaceDN w:val="0"/>
              <w:adjustRightInd w:val="0"/>
              <w:jc w:val="center"/>
            </w:pPr>
            <w:r>
              <w:t>1/(1+e</w:t>
            </w:r>
            <w:r>
              <w:rPr>
                <w:vertAlign w:val="superscript"/>
              </w:rPr>
              <w:t>(-</w:t>
            </w:r>
            <w:proofErr w:type="spellStart"/>
            <w:r>
              <w:rPr>
                <w:vertAlign w:val="superscript"/>
              </w:rPr>
              <w:t>áj</w:t>
            </w:r>
            <w:proofErr w:type="spellEnd"/>
            <w:r>
              <w:rPr>
                <w:vertAlign w:val="superscript"/>
              </w:rPr>
              <w:t>)</w:t>
            </w:r>
            <w:r>
              <w:t>)</w:t>
            </w:r>
          </w:p>
        </w:tc>
      </w:tr>
      <w:tr w:rsidR="00315077" w14:paraId="0F0FF2D9" w14:textId="77777777" w:rsidTr="00315077">
        <w:trPr>
          <w:jc w:val="center"/>
        </w:trPr>
        <w:tc>
          <w:tcPr>
            <w:tcW w:w="4539" w:type="dxa"/>
            <w:tcBorders>
              <w:top w:val="nil"/>
              <w:left w:val="nil"/>
              <w:bottom w:val="nil"/>
              <w:right w:val="nil"/>
            </w:tcBorders>
          </w:tcPr>
          <w:p w14:paraId="4D8B46A2" w14:textId="77777777" w:rsidR="00315077" w:rsidRDefault="00315077" w:rsidP="00315077">
            <w:pPr>
              <w:widowControl w:val="0"/>
              <w:autoSpaceDE w:val="0"/>
              <w:autoSpaceDN w:val="0"/>
              <w:adjustRightInd w:val="0"/>
            </w:pPr>
          </w:p>
        </w:tc>
        <w:tc>
          <w:tcPr>
            <w:tcW w:w="1296" w:type="dxa"/>
            <w:tcBorders>
              <w:top w:val="nil"/>
              <w:left w:val="nil"/>
              <w:bottom w:val="nil"/>
              <w:right w:val="nil"/>
            </w:tcBorders>
          </w:tcPr>
          <w:p w14:paraId="73218519" w14:textId="77777777" w:rsidR="00315077" w:rsidRDefault="00315077" w:rsidP="00315077">
            <w:pPr>
              <w:widowControl w:val="0"/>
              <w:autoSpaceDE w:val="0"/>
              <w:autoSpaceDN w:val="0"/>
              <w:adjustRightInd w:val="0"/>
              <w:jc w:val="center"/>
            </w:pPr>
          </w:p>
        </w:tc>
        <w:tc>
          <w:tcPr>
            <w:tcW w:w="1296" w:type="dxa"/>
            <w:tcBorders>
              <w:top w:val="nil"/>
              <w:left w:val="nil"/>
              <w:bottom w:val="nil"/>
              <w:right w:val="nil"/>
            </w:tcBorders>
          </w:tcPr>
          <w:p w14:paraId="67FBFE86" w14:textId="77777777" w:rsidR="00315077" w:rsidRDefault="00315077" w:rsidP="00315077">
            <w:pPr>
              <w:widowControl w:val="0"/>
              <w:autoSpaceDE w:val="0"/>
              <w:autoSpaceDN w:val="0"/>
              <w:adjustRightInd w:val="0"/>
              <w:jc w:val="center"/>
            </w:pPr>
          </w:p>
        </w:tc>
        <w:tc>
          <w:tcPr>
            <w:tcW w:w="1296" w:type="dxa"/>
            <w:tcBorders>
              <w:top w:val="nil"/>
              <w:left w:val="nil"/>
              <w:bottom w:val="nil"/>
              <w:right w:val="nil"/>
            </w:tcBorders>
          </w:tcPr>
          <w:p w14:paraId="496050FE" w14:textId="77777777" w:rsidR="00315077" w:rsidRDefault="00315077" w:rsidP="00315077">
            <w:pPr>
              <w:widowControl w:val="0"/>
              <w:autoSpaceDE w:val="0"/>
              <w:autoSpaceDN w:val="0"/>
              <w:adjustRightInd w:val="0"/>
              <w:jc w:val="center"/>
            </w:pPr>
          </w:p>
        </w:tc>
      </w:tr>
      <w:tr w:rsidR="00315077" w14:paraId="78CA73ED" w14:textId="77777777" w:rsidTr="00315077">
        <w:trPr>
          <w:jc w:val="center"/>
        </w:trPr>
        <w:tc>
          <w:tcPr>
            <w:tcW w:w="4539" w:type="dxa"/>
            <w:tcBorders>
              <w:top w:val="nil"/>
              <w:left w:val="nil"/>
              <w:bottom w:val="nil"/>
              <w:right w:val="nil"/>
            </w:tcBorders>
          </w:tcPr>
          <w:p w14:paraId="71E428C0" w14:textId="77777777" w:rsidR="00315077" w:rsidRDefault="00315077" w:rsidP="00315077">
            <w:pPr>
              <w:widowControl w:val="0"/>
              <w:autoSpaceDE w:val="0"/>
              <w:autoSpaceDN w:val="0"/>
              <w:adjustRightInd w:val="0"/>
            </w:pPr>
            <w:r>
              <w:t>2</w:t>
            </w:r>
          </w:p>
        </w:tc>
        <w:tc>
          <w:tcPr>
            <w:tcW w:w="1296" w:type="dxa"/>
            <w:tcBorders>
              <w:top w:val="nil"/>
              <w:left w:val="nil"/>
              <w:bottom w:val="nil"/>
              <w:right w:val="nil"/>
            </w:tcBorders>
          </w:tcPr>
          <w:p w14:paraId="58FC373F" w14:textId="77777777" w:rsidR="00315077" w:rsidRDefault="00315077" w:rsidP="00315077">
            <w:pPr>
              <w:widowControl w:val="0"/>
              <w:autoSpaceDE w:val="0"/>
              <w:autoSpaceDN w:val="0"/>
              <w:adjustRightInd w:val="0"/>
              <w:jc w:val="center"/>
            </w:pPr>
            <w:r>
              <w:t>-3.168**</w:t>
            </w:r>
          </w:p>
        </w:tc>
        <w:tc>
          <w:tcPr>
            <w:tcW w:w="1296" w:type="dxa"/>
            <w:tcBorders>
              <w:top w:val="nil"/>
              <w:left w:val="nil"/>
              <w:bottom w:val="nil"/>
              <w:right w:val="nil"/>
            </w:tcBorders>
          </w:tcPr>
          <w:p w14:paraId="5EE0627F" w14:textId="77777777" w:rsidR="00315077" w:rsidRDefault="00315077" w:rsidP="00315077">
            <w:pPr>
              <w:widowControl w:val="0"/>
              <w:autoSpaceDE w:val="0"/>
              <w:autoSpaceDN w:val="0"/>
              <w:adjustRightInd w:val="0"/>
              <w:jc w:val="center"/>
            </w:pPr>
            <w:r>
              <w:t>0.0421</w:t>
            </w:r>
          </w:p>
        </w:tc>
        <w:tc>
          <w:tcPr>
            <w:tcW w:w="1296" w:type="dxa"/>
            <w:tcBorders>
              <w:top w:val="nil"/>
              <w:left w:val="nil"/>
              <w:bottom w:val="nil"/>
              <w:right w:val="nil"/>
            </w:tcBorders>
          </w:tcPr>
          <w:p w14:paraId="612F9094" w14:textId="77777777" w:rsidR="00315077" w:rsidRDefault="00315077" w:rsidP="00315077">
            <w:pPr>
              <w:widowControl w:val="0"/>
              <w:autoSpaceDE w:val="0"/>
              <w:autoSpaceDN w:val="0"/>
              <w:adjustRightInd w:val="0"/>
              <w:jc w:val="center"/>
            </w:pPr>
            <w:r>
              <w:t>0.0404</w:t>
            </w:r>
          </w:p>
        </w:tc>
      </w:tr>
      <w:tr w:rsidR="00315077" w14:paraId="165DAE23" w14:textId="77777777" w:rsidTr="00315077">
        <w:trPr>
          <w:jc w:val="center"/>
        </w:trPr>
        <w:tc>
          <w:tcPr>
            <w:tcW w:w="4539" w:type="dxa"/>
            <w:tcBorders>
              <w:top w:val="nil"/>
              <w:left w:val="nil"/>
              <w:bottom w:val="nil"/>
              <w:right w:val="nil"/>
            </w:tcBorders>
          </w:tcPr>
          <w:p w14:paraId="09CE3619" w14:textId="77777777" w:rsidR="00315077" w:rsidRDefault="00315077" w:rsidP="00315077">
            <w:pPr>
              <w:widowControl w:val="0"/>
              <w:autoSpaceDE w:val="0"/>
              <w:autoSpaceDN w:val="0"/>
              <w:adjustRightInd w:val="0"/>
            </w:pPr>
          </w:p>
        </w:tc>
        <w:tc>
          <w:tcPr>
            <w:tcW w:w="1296" w:type="dxa"/>
            <w:tcBorders>
              <w:top w:val="nil"/>
              <w:left w:val="nil"/>
              <w:bottom w:val="nil"/>
              <w:right w:val="nil"/>
            </w:tcBorders>
          </w:tcPr>
          <w:p w14:paraId="46FE1F3E" w14:textId="77777777" w:rsidR="00315077" w:rsidRDefault="00315077" w:rsidP="00315077">
            <w:pPr>
              <w:widowControl w:val="0"/>
              <w:autoSpaceDE w:val="0"/>
              <w:autoSpaceDN w:val="0"/>
              <w:adjustRightInd w:val="0"/>
              <w:jc w:val="center"/>
            </w:pPr>
            <w:r>
              <w:t>(1.328)</w:t>
            </w:r>
          </w:p>
        </w:tc>
        <w:tc>
          <w:tcPr>
            <w:tcW w:w="1296" w:type="dxa"/>
            <w:tcBorders>
              <w:top w:val="nil"/>
              <w:left w:val="nil"/>
              <w:bottom w:val="nil"/>
              <w:right w:val="nil"/>
            </w:tcBorders>
          </w:tcPr>
          <w:p w14:paraId="1E017647" w14:textId="77777777" w:rsidR="00315077" w:rsidRDefault="00315077" w:rsidP="00315077">
            <w:pPr>
              <w:widowControl w:val="0"/>
              <w:autoSpaceDE w:val="0"/>
              <w:autoSpaceDN w:val="0"/>
              <w:adjustRightInd w:val="0"/>
              <w:jc w:val="center"/>
            </w:pPr>
          </w:p>
        </w:tc>
        <w:tc>
          <w:tcPr>
            <w:tcW w:w="1296" w:type="dxa"/>
            <w:tcBorders>
              <w:top w:val="nil"/>
              <w:left w:val="nil"/>
              <w:bottom w:val="nil"/>
              <w:right w:val="nil"/>
            </w:tcBorders>
          </w:tcPr>
          <w:p w14:paraId="392332B9" w14:textId="77777777" w:rsidR="00315077" w:rsidRDefault="00315077" w:rsidP="00315077">
            <w:pPr>
              <w:widowControl w:val="0"/>
              <w:autoSpaceDE w:val="0"/>
              <w:autoSpaceDN w:val="0"/>
              <w:adjustRightInd w:val="0"/>
              <w:jc w:val="center"/>
            </w:pPr>
          </w:p>
        </w:tc>
      </w:tr>
      <w:tr w:rsidR="00315077" w14:paraId="2BA2C6BC" w14:textId="77777777" w:rsidTr="00315077">
        <w:trPr>
          <w:jc w:val="center"/>
        </w:trPr>
        <w:tc>
          <w:tcPr>
            <w:tcW w:w="4539" w:type="dxa"/>
            <w:tcBorders>
              <w:top w:val="nil"/>
              <w:left w:val="nil"/>
              <w:bottom w:val="nil"/>
              <w:right w:val="nil"/>
            </w:tcBorders>
          </w:tcPr>
          <w:p w14:paraId="22EE40C5" w14:textId="77777777" w:rsidR="00315077" w:rsidRDefault="00315077" w:rsidP="00315077">
            <w:pPr>
              <w:widowControl w:val="0"/>
              <w:autoSpaceDE w:val="0"/>
              <w:autoSpaceDN w:val="0"/>
              <w:adjustRightInd w:val="0"/>
            </w:pPr>
            <w:r>
              <w:t>3</w:t>
            </w:r>
          </w:p>
        </w:tc>
        <w:tc>
          <w:tcPr>
            <w:tcW w:w="1296" w:type="dxa"/>
            <w:tcBorders>
              <w:top w:val="nil"/>
              <w:left w:val="nil"/>
              <w:bottom w:val="nil"/>
              <w:right w:val="nil"/>
            </w:tcBorders>
          </w:tcPr>
          <w:p w14:paraId="2937870E" w14:textId="77777777" w:rsidR="00315077" w:rsidRDefault="00315077" w:rsidP="00315077">
            <w:pPr>
              <w:widowControl w:val="0"/>
              <w:autoSpaceDE w:val="0"/>
              <w:autoSpaceDN w:val="0"/>
              <w:adjustRightInd w:val="0"/>
              <w:jc w:val="center"/>
            </w:pPr>
            <w:r>
              <w:t>-2.240*</w:t>
            </w:r>
          </w:p>
        </w:tc>
        <w:tc>
          <w:tcPr>
            <w:tcW w:w="1296" w:type="dxa"/>
            <w:tcBorders>
              <w:top w:val="nil"/>
              <w:left w:val="nil"/>
              <w:bottom w:val="nil"/>
              <w:right w:val="nil"/>
            </w:tcBorders>
          </w:tcPr>
          <w:p w14:paraId="5244F47C" w14:textId="77777777" w:rsidR="00315077" w:rsidRDefault="00315077" w:rsidP="00315077">
            <w:pPr>
              <w:widowControl w:val="0"/>
              <w:autoSpaceDE w:val="0"/>
              <w:autoSpaceDN w:val="0"/>
              <w:adjustRightInd w:val="0"/>
              <w:jc w:val="center"/>
            </w:pPr>
            <w:r>
              <w:t>0.1065</w:t>
            </w:r>
          </w:p>
        </w:tc>
        <w:tc>
          <w:tcPr>
            <w:tcW w:w="1296" w:type="dxa"/>
            <w:tcBorders>
              <w:top w:val="nil"/>
              <w:left w:val="nil"/>
              <w:bottom w:val="nil"/>
              <w:right w:val="nil"/>
            </w:tcBorders>
          </w:tcPr>
          <w:p w14:paraId="3A640F11" w14:textId="77777777" w:rsidR="00315077" w:rsidRDefault="00315077" w:rsidP="00315077">
            <w:pPr>
              <w:widowControl w:val="0"/>
              <w:autoSpaceDE w:val="0"/>
              <w:autoSpaceDN w:val="0"/>
              <w:adjustRightInd w:val="0"/>
              <w:jc w:val="center"/>
            </w:pPr>
            <w:r>
              <w:t>0.0963</w:t>
            </w:r>
          </w:p>
        </w:tc>
      </w:tr>
      <w:tr w:rsidR="00315077" w14:paraId="5DBE0889" w14:textId="77777777" w:rsidTr="00315077">
        <w:trPr>
          <w:jc w:val="center"/>
        </w:trPr>
        <w:tc>
          <w:tcPr>
            <w:tcW w:w="4539" w:type="dxa"/>
            <w:tcBorders>
              <w:top w:val="nil"/>
              <w:left w:val="nil"/>
              <w:bottom w:val="nil"/>
              <w:right w:val="nil"/>
            </w:tcBorders>
          </w:tcPr>
          <w:p w14:paraId="1EAEDFAF" w14:textId="77777777" w:rsidR="00315077" w:rsidRDefault="00315077" w:rsidP="00315077">
            <w:pPr>
              <w:widowControl w:val="0"/>
              <w:autoSpaceDE w:val="0"/>
              <w:autoSpaceDN w:val="0"/>
              <w:adjustRightInd w:val="0"/>
            </w:pPr>
          </w:p>
        </w:tc>
        <w:tc>
          <w:tcPr>
            <w:tcW w:w="1296" w:type="dxa"/>
            <w:tcBorders>
              <w:top w:val="nil"/>
              <w:left w:val="nil"/>
              <w:bottom w:val="nil"/>
              <w:right w:val="nil"/>
            </w:tcBorders>
          </w:tcPr>
          <w:p w14:paraId="35C7F7B2" w14:textId="77777777" w:rsidR="00315077" w:rsidRDefault="00315077" w:rsidP="00315077">
            <w:pPr>
              <w:widowControl w:val="0"/>
              <w:autoSpaceDE w:val="0"/>
              <w:autoSpaceDN w:val="0"/>
              <w:adjustRightInd w:val="0"/>
              <w:jc w:val="center"/>
            </w:pPr>
            <w:r>
              <w:t>(1.272)</w:t>
            </w:r>
          </w:p>
        </w:tc>
        <w:tc>
          <w:tcPr>
            <w:tcW w:w="1296" w:type="dxa"/>
            <w:tcBorders>
              <w:top w:val="nil"/>
              <w:left w:val="nil"/>
              <w:bottom w:val="nil"/>
              <w:right w:val="nil"/>
            </w:tcBorders>
          </w:tcPr>
          <w:p w14:paraId="53762734" w14:textId="77777777" w:rsidR="00315077" w:rsidRDefault="00315077" w:rsidP="00315077">
            <w:pPr>
              <w:widowControl w:val="0"/>
              <w:autoSpaceDE w:val="0"/>
              <w:autoSpaceDN w:val="0"/>
              <w:adjustRightInd w:val="0"/>
              <w:jc w:val="center"/>
            </w:pPr>
          </w:p>
        </w:tc>
        <w:tc>
          <w:tcPr>
            <w:tcW w:w="1296" w:type="dxa"/>
            <w:tcBorders>
              <w:top w:val="nil"/>
              <w:left w:val="nil"/>
              <w:bottom w:val="nil"/>
              <w:right w:val="nil"/>
            </w:tcBorders>
          </w:tcPr>
          <w:p w14:paraId="76CAD0ED" w14:textId="77777777" w:rsidR="00315077" w:rsidRDefault="00315077" w:rsidP="00315077">
            <w:pPr>
              <w:widowControl w:val="0"/>
              <w:autoSpaceDE w:val="0"/>
              <w:autoSpaceDN w:val="0"/>
              <w:adjustRightInd w:val="0"/>
              <w:jc w:val="center"/>
            </w:pPr>
          </w:p>
        </w:tc>
      </w:tr>
      <w:tr w:rsidR="00315077" w14:paraId="3D1DF2B8" w14:textId="77777777" w:rsidTr="00315077">
        <w:trPr>
          <w:jc w:val="center"/>
        </w:trPr>
        <w:tc>
          <w:tcPr>
            <w:tcW w:w="4539" w:type="dxa"/>
            <w:tcBorders>
              <w:top w:val="nil"/>
              <w:left w:val="nil"/>
              <w:bottom w:val="nil"/>
              <w:right w:val="nil"/>
            </w:tcBorders>
          </w:tcPr>
          <w:p w14:paraId="5E5A5419" w14:textId="77777777" w:rsidR="00315077" w:rsidRDefault="00315077" w:rsidP="00315077">
            <w:pPr>
              <w:widowControl w:val="0"/>
              <w:autoSpaceDE w:val="0"/>
              <w:autoSpaceDN w:val="0"/>
              <w:adjustRightInd w:val="0"/>
            </w:pPr>
            <w:r>
              <w:t>4</w:t>
            </w:r>
          </w:p>
        </w:tc>
        <w:tc>
          <w:tcPr>
            <w:tcW w:w="1296" w:type="dxa"/>
            <w:tcBorders>
              <w:top w:val="nil"/>
              <w:left w:val="nil"/>
              <w:bottom w:val="nil"/>
              <w:right w:val="nil"/>
            </w:tcBorders>
          </w:tcPr>
          <w:p w14:paraId="4A59253D" w14:textId="77777777" w:rsidR="00315077" w:rsidRDefault="00315077" w:rsidP="00315077">
            <w:pPr>
              <w:widowControl w:val="0"/>
              <w:autoSpaceDE w:val="0"/>
              <w:autoSpaceDN w:val="0"/>
              <w:adjustRightInd w:val="0"/>
              <w:jc w:val="center"/>
            </w:pPr>
            <w:r>
              <w:t>-1.490</w:t>
            </w:r>
          </w:p>
        </w:tc>
        <w:tc>
          <w:tcPr>
            <w:tcW w:w="1296" w:type="dxa"/>
            <w:tcBorders>
              <w:top w:val="nil"/>
              <w:left w:val="nil"/>
              <w:bottom w:val="nil"/>
              <w:right w:val="nil"/>
            </w:tcBorders>
          </w:tcPr>
          <w:p w14:paraId="58F66D0D" w14:textId="77777777" w:rsidR="00315077" w:rsidRDefault="00315077" w:rsidP="00315077">
            <w:pPr>
              <w:widowControl w:val="0"/>
              <w:autoSpaceDE w:val="0"/>
              <w:autoSpaceDN w:val="0"/>
              <w:adjustRightInd w:val="0"/>
              <w:jc w:val="center"/>
            </w:pPr>
          </w:p>
        </w:tc>
        <w:tc>
          <w:tcPr>
            <w:tcW w:w="1296" w:type="dxa"/>
            <w:tcBorders>
              <w:top w:val="nil"/>
              <w:left w:val="nil"/>
              <w:bottom w:val="nil"/>
              <w:right w:val="nil"/>
            </w:tcBorders>
          </w:tcPr>
          <w:p w14:paraId="00C2680A" w14:textId="77777777" w:rsidR="00315077" w:rsidRDefault="00315077" w:rsidP="00315077">
            <w:pPr>
              <w:widowControl w:val="0"/>
              <w:autoSpaceDE w:val="0"/>
              <w:autoSpaceDN w:val="0"/>
              <w:adjustRightInd w:val="0"/>
              <w:jc w:val="center"/>
            </w:pPr>
          </w:p>
        </w:tc>
      </w:tr>
      <w:tr w:rsidR="00315077" w14:paraId="0B6CA76F" w14:textId="77777777" w:rsidTr="00315077">
        <w:trPr>
          <w:jc w:val="center"/>
        </w:trPr>
        <w:tc>
          <w:tcPr>
            <w:tcW w:w="4539" w:type="dxa"/>
            <w:tcBorders>
              <w:top w:val="nil"/>
              <w:left w:val="nil"/>
              <w:bottom w:val="nil"/>
              <w:right w:val="nil"/>
            </w:tcBorders>
          </w:tcPr>
          <w:p w14:paraId="40F54154" w14:textId="77777777" w:rsidR="00315077" w:rsidRDefault="00315077" w:rsidP="00315077">
            <w:pPr>
              <w:widowControl w:val="0"/>
              <w:autoSpaceDE w:val="0"/>
              <w:autoSpaceDN w:val="0"/>
              <w:adjustRightInd w:val="0"/>
            </w:pPr>
          </w:p>
        </w:tc>
        <w:tc>
          <w:tcPr>
            <w:tcW w:w="1296" w:type="dxa"/>
            <w:tcBorders>
              <w:top w:val="nil"/>
              <w:left w:val="nil"/>
              <w:bottom w:val="nil"/>
              <w:right w:val="nil"/>
            </w:tcBorders>
          </w:tcPr>
          <w:p w14:paraId="1BD81992" w14:textId="77777777" w:rsidR="00315077" w:rsidRDefault="00315077" w:rsidP="00315077">
            <w:pPr>
              <w:widowControl w:val="0"/>
              <w:autoSpaceDE w:val="0"/>
              <w:autoSpaceDN w:val="0"/>
              <w:adjustRightInd w:val="0"/>
              <w:jc w:val="center"/>
            </w:pPr>
            <w:r>
              <w:t>(1.253)</w:t>
            </w:r>
          </w:p>
        </w:tc>
        <w:tc>
          <w:tcPr>
            <w:tcW w:w="1296" w:type="dxa"/>
            <w:tcBorders>
              <w:top w:val="nil"/>
              <w:left w:val="nil"/>
              <w:bottom w:val="nil"/>
              <w:right w:val="nil"/>
            </w:tcBorders>
          </w:tcPr>
          <w:p w14:paraId="4C59B8A6" w14:textId="77777777" w:rsidR="00315077" w:rsidRDefault="00315077" w:rsidP="00315077">
            <w:pPr>
              <w:widowControl w:val="0"/>
              <w:autoSpaceDE w:val="0"/>
              <w:autoSpaceDN w:val="0"/>
              <w:adjustRightInd w:val="0"/>
              <w:jc w:val="center"/>
            </w:pPr>
          </w:p>
        </w:tc>
        <w:tc>
          <w:tcPr>
            <w:tcW w:w="1296" w:type="dxa"/>
            <w:tcBorders>
              <w:top w:val="nil"/>
              <w:left w:val="nil"/>
              <w:bottom w:val="nil"/>
              <w:right w:val="nil"/>
            </w:tcBorders>
          </w:tcPr>
          <w:p w14:paraId="290DA481" w14:textId="77777777" w:rsidR="00315077" w:rsidRDefault="00315077" w:rsidP="00315077">
            <w:pPr>
              <w:widowControl w:val="0"/>
              <w:autoSpaceDE w:val="0"/>
              <w:autoSpaceDN w:val="0"/>
              <w:adjustRightInd w:val="0"/>
              <w:jc w:val="center"/>
            </w:pPr>
          </w:p>
        </w:tc>
      </w:tr>
      <w:tr w:rsidR="00315077" w14:paraId="68F943B3" w14:textId="77777777" w:rsidTr="00315077">
        <w:trPr>
          <w:jc w:val="center"/>
        </w:trPr>
        <w:tc>
          <w:tcPr>
            <w:tcW w:w="4539" w:type="dxa"/>
            <w:tcBorders>
              <w:top w:val="nil"/>
              <w:left w:val="nil"/>
              <w:bottom w:val="nil"/>
              <w:right w:val="nil"/>
            </w:tcBorders>
          </w:tcPr>
          <w:p w14:paraId="625FF423" w14:textId="77777777" w:rsidR="00315077" w:rsidRDefault="00315077" w:rsidP="00315077">
            <w:pPr>
              <w:widowControl w:val="0"/>
              <w:autoSpaceDE w:val="0"/>
              <w:autoSpaceDN w:val="0"/>
              <w:adjustRightInd w:val="0"/>
            </w:pPr>
            <w:r>
              <w:t>5</w:t>
            </w:r>
          </w:p>
        </w:tc>
        <w:tc>
          <w:tcPr>
            <w:tcW w:w="1296" w:type="dxa"/>
            <w:tcBorders>
              <w:top w:val="nil"/>
              <w:left w:val="nil"/>
              <w:bottom w:val="nil"/>
              <w:right w:val="nil"/>
            </w:tcBorders>
          </w:tcPr>
          <w:p w14:paraId="1625C001" w14:textId="77777777" w:rsidR="00315077" w:rsidRDefault="00315077" w:rsidP="00315077">
            <w:pPr>
              <w:widowControl w:val="0"/>
              <w:autoSpaceDE w:val="0"/>
              <w:autoSpaceDN w:val="0"/>
              <w:adjustRightInd w:val="0"/>
              <w:jc w:val="center"/>
            </w:pPr>
            <w:r>
              <w:t>-0.999</w:t>
            </w:r>
          </w:p>
        </w:tc>
        <w:tc>
          <w:tcPr>
            <w:tcW w:w="1296" w:type="dxa"/>
            <w:tcBorders>
              <w:top w:val="nil"/>
              <w:left w:val="nil"/>
              <w:bottom w:val="nil"/>
              <w:right w:val="nil"/>
            </w:tcBorders>
          </w:tcPr>
          <w:p w14:paraId="41439F4F" w14:textId="77777777" w:rsidR="00315077" w:rsidRDefault="00315077" w:rsidP="00315077">
            <w:pPr>
              <w:widowControl w:val="0"/>
              <w:autoSpaceDE w:val="0"/>
              <w:autoSpaceDN w:val="0"/>
              <w:adjustRightInd w:val="0"/>
              <w:jc w:val="center"/>
            </w:pPr>
          </w:p>
        </w:tc>
        <w:tc>
          <w:tcPr>
            <w:tcW w:w="1296" w:type="dxa"/>
            <w:tcBorders>
              <w:top w:val="nil"/>
              <w:left w:val="nil"/>
              <w:bottom w:val="nil"/>
              <w:right w:val="nil"/>
            </w:tcBorders>
          </w:tcPr>
          <w:p w14:paraId="5A437556" w14:textId="77777777" w:rsidR="00315077" w:rsidRDefault="00315077" w:rsidP="00315077">
            <w:pPr>
              <w:widowControl w:val="0"/>
              <w:autoSpaceDE w:val="0"/>
              <w:autoSpaceDN w:val="0"/>
              <w:adjustRightInd w:val="0"/>
              <w:jc w:val="center"/>
            </w:pPr>
          </w:p>
        </w:tc>
      </w:tr>
      <w:tr w:rsidR="00315077" w14:paraId="52ED746E" w14:textId="77777777" w:rsidTr="00315077">
        <w:trPr>
          <w:jc w:val="center"/>
        </w:trPr>
        <w:tc>
          <w:tcPr>
            <w:tcW w:w="4539" w:type="dxa"/>
            <w:tcBorders>
              <w:top w:val="nil"/>
              <w:left w:val="nil"/>
              <w:bottom w:val="nil"/>
              <w:right w:val="nil"/>
            </w:tcBorders>
          </w:tcPr>
          <w:p w14:paraId="3DA7139A" w14:textId="77777777" w:rsidR="00315077" w:rsidRDefault="00315077" w:rsidP="00315077">
            <w:pPr>
              <w:widowControl w:val="0"/>
              <w:autoSpaceDE w:val="0"/>
              <w:autoSpaceDN w:val="0"/>
              <w:adjustRightInd w:val="0"/>
            </w:pPr>
          </w:p>
        </w:tc>
        <w:tc>
          <w:tcPr>
            <w:tcW w:w="1296" w:type="dxa"/>
            <w:tcBorders>
              <w:top w:val="nil"/>
              <w:left w:val="nil"/>
              <w:bottom w:val="nil"/>
              <w:right w:val="nil"/>
            </w:tcBorders>
          </w:tcPr>
          <w:p w14:paraId="4DA7D229" w14:textId="77777777" w:rsidR="00315077" w:rsidRDefault="00315077" w:rsidP="00315077">
            <w:pPr>
              <w:widowControl w:val="0"/>
              <w:autoSpaceDE w:val="0"/>
              <w:autoSpaceDN w:val="0"/>
              <w:adjustRightInd w:val="0"/>
              <w:jc w:val="center"/>
            </w:pPr>
            <w:r>
              <w:t>(1.247)</w:t>
            </w:r>
          </w:p>
        </w:tc>
        <w:tc>
          <w:tcPr>
            <w:tcW w:w="1296" w:type="dxa"/>
            <w:tcBorders>
              <w:top w:val="nil"/>
              <w:left w:val="nil"/>
              <w:bottom w:val="nil"/>
              <w:right w:val="nil"/>
            </w:tcBorders>
          </w:tcPr>
          <w:p w14:paraId="3A365938" w14:textId="77777777" w:rsidR="00315077" w:rsidRDefault="00315077" w:rsidP="00315077">
            <w:pPr>
              <w:widowControl w:val="0"/>
              <w:autoSpaceDE w:val="0"/>
              <w:autoSpaceDN w:val="0"/>
              <w:adjustRightInd w:val="0"/>
              <w:jc w:val="center"/>
            </w:pPr>
          </w:p>
        </w:tc>
        <w:tc>
          <w:tcPr>
            <w:tcW w:w="1296" w:type="dxa"/>
            <w:tcBorders>
              <w:top w:val="nil"/>
              <w:left w:val="nil"/>
              <w:bottom w:val="nil"/>
              <w:right w:val="nil"/>
            </w:tcBorders>
          </w:tcPr>
          <w:p w14:paraId="52098984" w14:textId="77777777" w:rsidR="00315077" w:rsidRDefault="00315077" w:rsidP="00315077">
            <w:pPr>
              <w:widowControl w:val="0"/>
              <w:autoSpaceDE w:val="0"/>
              <w:autoSpaceDN w:val="0"/>
              <w:adjustRightInd w:val="0"/>
              <w:jc w:val="center"/>
            </w:pPr>
          </w:p>
        </w:tc>
      </w:tr>
      <w:tr w:rsidR="00315077" w14:paraId="4A952DCE" w14:textId="77777777" w:rsidTr="00315077">
        <w:trPr>
          <w:jc w:val="center"/>
        </w:trPr>
        <w:tc>
          <w:tcPr>
            <w:tcW w:w="4539" w:type="dxa"/>
            <w:tcBorders>
              <w:top w:val="nil"/>
              <w:left w:val="nil"/>
              <w:bottom w:val="nil"/>
              <w:right w:val="nil"/>
            </w:tcBorders>
          </w:tcPr>
          <w:p w14:paraId="7A9873E1" w14:textId="77777777" w:rsidR="00315077" w:rsidRDefault="00315077" w:rsidP="00315077">
            <w:pPr>
              <w:widowControl w:val="0"/>
              <w:autoSpaceDE w:val="0"/>
              <w:autoSpaceDN w:val="0"/>
              <w:adjustRightInd w:val="0"/>
            </w:pPr>
            <w:r>
              <w:t>6</w:t>
            </w:r>
          </w:p>
        </w:tc>
        <w:tc>
          <w:tcPr>
            <w:tcW w:w="1296" w:type="dxa"/>
            <w:tcBorders>
              <w:top w:val="nil"/>
              <w:left w:val="nil"/>
              <w:bottom w:val="nil"/>
              <w:right w:val="nil"/>
            </w:tcBorders>
          </w:tcPr>
          <w:p w14:paraId="45A2695C" w14:textId="77777777" w:rsidR="00315077" w:rsidRDefault="00315077" w:rsidP="00315077">
            <w:pPr>
              <w:widowControl w:val="0"/>
              <w:autoSpaceDE w:val="0"/>
              <w:autoSpaceDN w:val="0"/>
              <w:adjustRightInd w:val="0"/>
              <w:jc w:val="center"/>
            </w:pPr>
            <w:r>
              <w:t>-1.427</w:t>
            </w:r>
          </w:p>
        </w:tc>
        <w:tc>
          <w:tcPr>
            <w:tcW w:w="1296" w:type="dxa"/>
            <w:tcBorders>
              <w:top w:val="nil"/>
              <w:left w:val="nil"/>
              <w:bottom w:val="nil"/>
              <w:right w:val="nil"/>
            </w:tcBorders>
          </w:tcPr>
          <w:p w14:paraId="02B0DA8C" w14:textId="77777777" w:rsidR="00315077" w:rsidRDefault="00315077" w:rsidP="00315077">
            <w:pPr>
              <w:widowControl w:val="0"/>
              <w:autoSpaceDE w:val="0"/>
              <w:autoSpaceDN w:val="0"/>
              <w:adjustRightInd w:val="0"/>
              <w:jc w:val="center"/>
            </w:pPr>
          </w:p>
        </w:tc>
        <w:tc>
          <w:tcPr>
            <w:tcW w:w="1296" w:type="dxa"/>
            <w:tcBorders>
              <w:top w:val="nil"/>
              <w:left w:val="nil"/>
              <w:bottom w:val="nil"/>
              <w:right w:val="nil"/>
            </w:tcBorders>
          </w:tcPr>
          <w:p w14:paraId="55BCE475" w14:textId="77777777" w:rsidR="00315077" w:rsidRDefault="00315077" w:rsidP="00315077">
            <w:pPr>
              <w:widowControl w:val="0"/>
              <w:autoSpaceDE w:val="0"/>
              <w:autoSpaceDN w:val="0"/>
              <w:adjustRightInd w:val="0"/>
              <w:jc w:val="center"/>
            </w:pPr>
          </w:p>
        </w:tc>
      </w:tr>
      <w:tr w:rsidR="00315077" w14:paraId="7A905F6B" w14:textId="77777777" w:rsidTr="00315077">
        <w:trPr>
          <w:jc w:val="center"/>
        </w:trPr>
        <w:tc>
          <w:tcPr>
            <w:tcW w:w="4539" w:type="dxa"/>
            <w:tcBorders>
              <w:top w:val="nil"/>
              <w:left w:val="nil"/>
              <w:bottom w:val="nil"/>
              <w:right w:val="nil"/>
            </w:tcBorders>
          </w:tcPr>
          <w:p w14:paraId="580B0563" w14:textId="77777777" w:rsidR="00315077" w:rsidRDefault="00315077" w:rsidP="00315077">
            <w:pPr>
              <w:widowControl w:val="0"/>
              <w:autoSpaceDE w:val="0"/>
              <w:autoSpaceDN w:val="0"/>
              <w:adjustRightInd w:val="0"/>
            </w:pPr>
          </w:p>
        </w:tc>
        <w:tc>
          <w:tcPr>
            <w:tcW w:w="1296" w:type="dxa"/>
            <w:tcBorders>
              <w:top w:val="nil"/>
              <w:left w:val="nil"/>
              <w:bottom w:val="nil"/>
              <w:right w:val="nil"/>
            </w:tcBorders>
          </w:tcPr>
          <w:p w14:paraId="39DA80BB" w14:textId="77777777" w:rsidR="00315077" w:rsidRDefault="00315077" w:rsidP="00315077">
            <w:pPr>
              <w:widowControl w:val="0"/>
              <w:autoSpaceDE w:val="0"/>
              <w:autoSpaceDN w:val="0"/>
              <w:adjustRightInd w:val="0"/>
              <w:jc w:val="center"/>
            </w:pPr>
            <w:r>
              <w:t>(1.265)</w:t>
            </w:r>
          </w:p>
        </w:tc>
        <w:tc>
          <w:tcPr>
            <w:tcW w:w="1296" w:type="dxa"/>
            <w:tcBorders>
              <w:top w:val="nil"/>
              <w:left w:val="nil"/>
              <w:bottom w:val="nil"/>
              <w:right w:val="nil"/>
            </w:tcBorders>
          </w:tcPr>
          <w:p w14:paraId="0E8950A4" w14:textId="77777777" w:rsidR="00315077" w:rsidRDefault="00315077" w:rsidP="00315077">
            <w:pPr>
              <w:widowControl w:val="0"/>
              <w:autoSpaceDE w:val="0"/>
              <w:autoSpaceDN w:val="0"/>
              <w:adjustRightInd w:val="0"/>
              <w:jc w:val="center"/>
            </w:pPr>
          </w:p>
        </w:tc>
        <w:tc>
          <w:tcPr>
            <w:tcW w:w="1296" w:type="dxa"/>
            <w:tcBorders>
              <w:top w:val="nil"/>
              <w:left w:val="nil"/>
              <w:bottom w:val="nil"/>
              <w:right w:val="nil"/>
            </w:tcBorders>
          </w:tcPr>
          <w:p w14:paraId="44E75ABA" w14:textId="77777777" w:rsidR="00315077" w:rsidRDefault="00315077" w:rsidP="00315077">
            <w:pPr>
              <w:widowControl w:val="0"/>
              <w:autoSpaceDE w:val="0"/>
              <w:autoSpaceDN w:val="0"/>
              <w:adjustRightInd w:val="0"/>
              <w:jc w:val="center"/>
            </w:pPr>
          </w:p>
        </w:tc>
      </w:tr>
      <w:tr w:rsidR="00315077" w14:paraId="55031067" w14:textId="77777777" w:rsidTr="00315077">
        <w:trPr>
          <w:jc w:val="center"/>
        </w:trPr>
        <w:tc>
          <w:tcPr>
            <w:tcW w:w="4539" w:type="dxa"/>
            <w:tcBorders>
              <w:top w:val="nil"/>
              <w:left w:val="nil"/>
              <w:bottom w:val="nil"/>
              <w:right w:val="nil"/>
            </w:tcBorders>
          </w:tcPr>
          <w:p w14:paraId="0FA98183" w14:textId="77777777" w:rsidR="00315077" w:rsidRDefault="00315077" w:rsidP="00315077">
            <w:pPr>
              <w:widowControl w:val="0"/>
              <w:autoSpaceDE w:val="0"/>
              <w:autoSpaceDN w:val="0"/>
              <w:adjustRightInd w:val="0"/>
            </w:pPr>
            <w:r>
              <w:t>7</w:t>
            </w:r>
          </w:p>
        </w:tc>
        <w:tc>
          <w:tcPr>
            <w:tcW w:w="1296" w:type="dxa"/>
            <w:tcBorders>
              <w:top w:val="nil"/>
              <w:left w:val="nil"/>
              <w:bottom w:val="nil"/>
              <w:right w:val="nil"/>
            </w:tcBorders>
          </w:tcPr>
          <w:p w14:paraId="74DA38F5" w14:textId="77777777" w:rsidR="00315077" w:rsidRDefault="00315077" w:rsidP="00315077">
            <w:pPr>
              <w:widowControl w:val="0"/>
              <w:autoSpaceDE w:val="0"/>
              <w:autoSpaceDN w:val="0"/>
              <w:adjustRightInd w:val="0"/>
              <w:jc w:val="center"/>
            </w:pPr>
            <w:r>
              <w:t>-1.136</w:t>
            </w:r>
          </w:p>
        </w:tc>
        <w:tc>
          <w:tcPr>
            <w:tcW w:w="1296" w:type="dxa"/>
            <w:tcBorders>
              <w:top w:val="nil"/>
              <w:left w:val="nil"/>
              <w:bottom w:val="nil"/>
              <w:right w:val="nil"/>
            </w:tcBorders>
          </w:tcPr>
          <w:p w14:paraId="72C7FBF2" w14:textId="77777777" w:rsidR="00315077" w:rsidRDefault="00315077" w:rsidP="00315077">
            <w:pPr>
              <w:widowControl w:val="0"/>
              <w:autoSpaceDE w:val="0"/>
              <w:autoSpaceDN w:val="0"/>
              <w:adjustRightInd w:val="0"/>
              <w:jc w:val="center"/>
            </w:pPr>
          </w:p>
        </w:tc>
        <w:tc>
          <w:tcPr>
            <w:tcW w:w="1296" w:type="dxa"/>
            <w:tcBorders>
              <w:top w:val="nil"/>
              <w:left w:val="nil"/>
              <w:bottom w:val="nil"/>
              <w:right w:val="nil"/>
            </w:tcBorders>
          </w:tcPr>
          <w:p w14:paraId="7D19774F" w14:textId="77777777" w:rsidR="00315077" w:rsidRDefault="00315077" w:rsidP="00315077">
            <w:pPr>
              <w:widowControl w:val="0"/>
              <w:autoSpaceDE w:val="0"/>
              <w:autoSpaceDN w:val="0"/>
              <w:adjustRightInd w:val="0"/>
              <w:jc w:val="center"/>
            </w:pPr>
          </w:p>
        </w:tc>
      </w:tr>
      <w:tr w:rsidR="00315077" w14:paraId="5F8B9CE1" w14:textId="77777777" w:rsidTr="00315077">
        <w:trPr>
          <w:jc w:val="center"/>
        </w:trPr>
        <w:tc>
          <w:tcPr>
            <w:tcW w:w="4539" w:type="dxa"/>
            <w:tcBorders>
              <w:top w:val="nil"/>
              <w:left w:val="nil"/>
              <w:bottom w:val="nil"/>
              <w:right w:val="nil"/>
            </w:tcBorders>
          </w:tcPr>
          <w:p w14:paraId="71991F40" w14:textId="77777777" w:rsidR="00315077" w:rsidRDefault="00315077" w:rsidP="00315077">
            <w:pPr>
              <w:widowControl w:val="0"/>
              <w:autoSpaceDE w:val="0"/>
              <w:autoSpaceDN w:val="0"/>
              <w:adjustRightInd w:val="0"/>
            </w:pPr>
          </w:p>
        </w:tc>
        <w:tc>
          <w:tcPr>
            <w:tcW w:w="1296" w:type="dxa"/>
            <w:tcBorders>
              <w:top w:val="nil"/>
              <w:left w:val="nil"/>
              <w:bottom w:val="nil"/>
              <w:right w:val="nil"/>
            </w:tcBorders>
          </w:tcPr>
          <w:p w14:paraId="1A50C04E" w14:textId="77777777" w:rsidR="00315077" w:rsidRDefault="00315077" w:rsidP="00315077">
            <w:pPr>
              <w:widowControl w:val="0"/>
              <w:autoSpaceDE w:val="0"/>
              <w:autoSpaceDN w:val="0"/>
              <w:adjustRightInd w:val="0"/>
              <w:jc w:val="center"/>
            </w:pPr>
            <w:r>
              <w:t>(1.263)</w:t>
            </w:r>
          </w:p>
        </w:tc>
        <w:tc>
          <w:tcPr>
            <w:tcW w:w="1296" w:type="dxa"/>
            <w:tcBorders>
              <w:top w:val="nil"/>
              <w:left w:val="nil"/>
              <w:bottom w:val="nil"/>
              <w:right w:val="nil"/>
            </w:tcBorders>
          </w:tcPr>
          <w:p w14:paraId="26EE3319" w14:textId="77777777" w:rsidR="00315077" w:rsidRDefault="00315077" w:rsidP="00315077">
            <w:pPr>
              <w:widowControl w:val="0"/>
              <w:autoSpaceDE w:val="0"/>
              <w:autoSpaceDN w:val="0"/>
              <w:adjustRightInd w:val="0"/>
              <w:jc w:val="center"/>
            </w:pPr>
          </w:p>
        </w:tc>
        <w:tc>
          <w:tcPr>
            <w:tcW w:w="1296" w:type="dxa"/>
            <w:tcBorders>
              <w:top w:val="nil"/>
              <w:left w:val="nil"/>
              <w:bottom w:val="nil"/>
              <w:right w:val="nil"/>
            </w:tcBorders>
          </w:tcPr>
          <w:p w14:paraId="1B2B19DB" w14:textId="77777777" w:rsidR="00315077" w:rsidRDefault="00315077" w:rsidP="00315077">
            <w:pPr>
              <w:widowControl w:val="0"/>
              <w:autoSpaceDE w:val="0"/>
              <w:autoSpaceDN w:val="0"/>
              <w:adjustRightInd w:val="0"/>
              <w:jc w:val="center"/>
            </w:pPr>
          </w:p>
        </w:tc>
      </w:tr>
      <w:tr w:rsidR="00315077" w14:paraId="110419C9" w14:textId="77777777" w:rsidTr="00315077">
        <w:trPr>
          <w:jc w:val="center"/>
        </w:trPr>
        <w:tc>
          <w:tcPr>
            <w:tcW w:w="4539" w:type="dxa"/>
            <w:tcBorders>
              <w:top w:val="nil"/>
              <w:left w:val="nil"/>
              <w:bottom w:val="nil"/>
              <w:right w:val="nil"/>
            </w:tcBorders>
          </w:tcPr>
          <w:p w14:paraId="0A0E5808" w14:textId="77777777" w:rsidR="00315077" w:rsidRDefault="00315077" w:rsidP="00315077">
            <w:pPr>
              <w:widowControl w:val="0"/>
              <w:autoSpaceDE w:val="0"/>
              <w:autoSpaceDN w:val="0"/>
              <w:adjustRightInd w:val="0"/>
            </w:pPr>
            <w:r>
              <w:t>8</w:t>
            </w:r>
          </w:p>
        </w:tc>
        <w:tc>
          <w:tcPr>
            <w:tcW w:w="1296" w:type="dxa"/>
            <w:tcBorders>
              <w:top w:val="nil"/>
              <w:left w:val="nil"/>
              <w:bottom w:val="nil"/>
              <w:right w:val="nil"/>
            </w:tcBorders>
          </w:tcPr>
          <w:p w14:paraId="6353DAC9" w14:textId="77777777" w:rsidR="00315077" w:rsidRDefault="00315077" w:rsidP="00315077">
            <w:pPr>
              <w:widowControl w:val="0"/>
              <w:autoSpaceDE w:val="0"/>
              <w:autoSpaceDN w:val="0"/>
              <w:adjustRightInd w:val="0"/>
              <w:jc w:val="center"/>
            </w:pPr>
            <w:r>
              <w:t>-0.882</w:t>
            </w:r>
          </w:p>
        </w:tc>
        <w:tc>
          <w:tcPr>
            <w:tcW w:w="1296" w:type="dxa"/>
            <w:tcBorders>
              <w:top w:val="nil"/>
              <w:left w:val="nil"/>
              <w:bottom w:val="nil"/>
              <w:right w:val="nil"/>
            </w:tcBorders>
          </w:tcPr>
          <w:p w14:paraId="22FD2D7C" w14:textId="77777777" w:rsidR="00315077" w:rsidRDefault="00315077" w:rsidP="00315077">
            <w:pPr>
              <w:widowControl w:val="0"/>
              <w:autoSpaceDE w:val="0"/>
              <w:autoSpaceDN w:val="0"/>
              <w:adjustRightInd w:val="0"/>
              <w:jc w:val="center"/>
            </w:pPr>
          </w:p>
        </w:tc>
        <w:tc>
          <w:tcPr>
            <w:tcW w:w="1296" w:type="dxa"/>
            <w:tcBorders>
              <w:top w:val="nil"/>
              <w:left w:val="nil"/>
              <w:bottom w:val="nil"/>
              <w:right w:val="nil"/>
            </w:tcBorders>
          </w:tcPr>
          <w:p w14:paraId="65C6A711" w14:textId="77777777" w:rsidR="00315077" w:rsidRDefault="00315077" w:rsidP="00315077">
            <w:pPr>
              <w:widowControl w:val="0"/>
              <w:autoSpaceDE w:val="0"/>
              <w:autoSpaceDN w:val="0"/>
              <w:adjustRightInd w:val="0"/>
              <w:jc w:val="center"/>
            </w:pPr>
          </w:p>
        </w:tc>
      </w:tr>
      <w:tr w:rsidR="00315077" w14:paraId="461339C3" w14:textId="77777777" w:rsidTr="00315077">
        <w:trPr>
          <w:jc w:val="center"/>
        </w:trPr>
        <w:tc>
          <w:tcPr>
            <w:tcW w:w="4539" w:type="dxa"/>
            <w:tcBorders>
              <w:top w:val="nil"/>
              <w:left w:val="nil"/>
              <w:bottom w:val="nil"/>
              <w:right w:val="nil"/>
            </w:tcBorders>
          </w:tcPr>
          <w:p w14:paraId="655DE8FE" w14:textId="77777777" w:rsidR="00315077" w:rsidRDefault="00315077" w:rsidP="00315077">
            <w:pPr>
              <w:widowControl w:val="0"/>
              <w:autoSpaceDE w:val="0"/>
              <w:autoSpaceDN w:val="0"/>
              <w:adjustRightInd w:val="0"/>
            </w:pPr>
          </w:p>
        </w:tc>
        <w:tc>
          <w:tcPr>
            <w:tcW w:w="1296" w:type="dxa"/>
            <w:tcBorders>
              <w:top w:val="nil"/>
              <w:left w:val="nil"/>
              <w:bottom w:val="nil"/>
              <w:right w:val="nil"/>
            </w:tcBorders>
          </w:tcPr>
          <w:p w14:paraId="5EC04238" w14:textId="77777777" w:rsidR="00315077" w:rsidRDefault="00315077" w:rsidP="00315077">
            <w:pPr>
              <w:widowControl w:val="0"/>
              <w:autoSpaceDE w:val="0"/>
              <w:autoSpaceDN w:val="0"/>
              <w:adjustRightInd w:val="0"/>
              <w:jc w:val="center"/>
            </w:pPr>
            <w:r>
              <w:t>(1.268)</w:t>
            </w:r>
          </w:p>
        </w:tc>
        <w:tc>
          <w:tcPr>
            <w:tcW w:w="1296" w:type="dxa"/>
            <w:tcBorders>
              <w:top w:val="nil"/>
              <w:left w:val="nil"/>
              <w:bottom w:val="nil"/>
              <w:right w:val="nil"/>
            </w:tcBorders>
          </w:tcPr>
          <w:p w14:paraId="10B95868" w14:textId="77777777" w:rsidR="00315077" w:rsidRDefault="00315077" w:rsidP="00315077">
            <w:pPr>
              <w:widowControl w:val="0"/>
              <w:autoSpaceDE w:val="0"/>
              <w:autoSpaceDN w:val="0"/>
              <w:adjustRightInd w:val="0"/>
              <w:jc w:val="center"/>
            </w:pPr>
          </w:p>
        </w:tc>
        <w:tc>
          <w:tcPr>
            <w:tcW w:w="1296" w:type="dxa"/>
            <w:tcBorders>
              <w:top w:val="nil"/>
              <w:left w:val="nil"/>
              <w:bottom w:val="nil"/>
              <w:right w:val="nil"/>
            </w:tcBorders>
          </w:tcPr>
          <w:p w14:paraId="31813D23" w14:textId="77777777" w:rsidR="00315077" w:rsidRDefault="00315077" w:rsidP="00315077">
            <w:pPr>
              <w:widowControl w:val="0"/>
              <w:autoSpaceDE w:val="0"/>
              <w:autoSpaceDN w:val="0"/>
              <w:adjustRightInd w:val="0"/>
              <w:jc w:val="center"/>
            </w:pPr>
          </w:p>
        </w:tc>
      </w:tr>
      <w:tr w:rsidR="00315077" w14:paraId="144CBF33" w14:textId="77777777" w:rsidTr="00315077">
        <w:trPr>
          <w:jc w:val="center"/>
        </w:trPr>
        <w:tc>
          <w:tcPr>
            <w:tcW w:w="4539" w:type="dxa"/>
            <w:tcBorders>
              <w:top w:val="nil"/>
              <w:left w:val="nil"/>
              <w:bottom w:val="nil"/>
              <w:right w:val="nil"/>
            </w:tcBorders>
          </w:tcPr>
          <w:p w14:paraId="6A9BC3B5" w14:textId="77777777" w:rsidR="00315077" w:rsidRDefault="00315077" w:rsidP="00315077">
            <w:pPr>
              <w:widowControl w:val="0"/>
              <w:autoSpaceDE w:val="0"/>
              <w:autoSpaceDN w:val="0"/>
              <w:adjustRightInd w:val="0"/>
            </w:pPr>
            <w:r>
              <w:t>9</w:t>
            </w:r>
          </w:p>
        </w:tc>
        <w:tc>
          <w:tcPr>
            <w:tcW w:w="1296" w:type="dxa"/>
            <w:tcBorders>
              <w:top w:val="nil"/>
              <w:left w:val="nil"/>
              <w:bottom w:val="nil"/>
              <w:right w:val="nil"/>
            </w:tcBorders>
          </w:tcPr>
          <w:p w14:paraId="74AFD6BC" w14:textId="77777777" w:rsidR="00315077" w:rsidRDefault="00315077" w:rsidP="00315077">
            <w:pPr>
              <w:widowControl w:val="0"/>
              <w:autoSpaceDE w:val="0"/>
              <w:autoSpaceDN w:val="0"/>
              <w:adjustRightInd w:val="0"/>
              <w:jc w:val="center"/>
            </w:pPr>
            <w:r>
              <w:t>-3.219**</w:t>
            </w:r>
          </w:p>
        </w:tc>
        <w:tc>
          <w:tcPr>
            <w:tcW w:w="1296" w:type="dxa"/>
            <w:tcBorders>
              <w:top w:val="nil"/>
              <w:left w:val="nil"/>
              <w:bottom w:val="nil"/>
              <w:right w:val="nil"/>
            </w:tcBorders>
          </w:tcPr>
          <w:p w14:paraId="18CDDE4A" w14:textId="77777777" w:rsidR="00315077" w:rsidRDefault="00315077" w:rsidP="00315077">
            <w:pPr>
              <w:widowControl w:val="0"/>
              <w:autoSpaceDE w:val="0"/>
              <w:autoSpaceDN w:val="0"/>
              <w:adjustRightInd w:val="0"/>
              <w:jc w:val="center"/>
            </w:pPr>
            <w:r>
              <w:t>0.04</w:t>
            </w:r>
          </w:p>
        </w:tc>
        <w:tc>
          <w:tcPr>
            <w:tcW w:w="1296" w:type="dxa"/>
            <w:tcBorders>
              <w:top w:val="nil"/>
              <w:left w:val="nil"/>
              <w:bottom w:val="nil"/>
              <w:right w:val="nil"/>
            </w:tcBorders>
          </w:tcPr>
          <w:p w14:paraId="2CD57741" w14:textId="77777777" w:rsidR="00315077" w:rsidRDefault="00315077" w:rsidP="00315077">
            <w:pPr>
              <w:widowControl w:val="0"/>
              <w:autoSpaceDE w:val="0"/>
              <w:autoSpaceDN w:val="0"/>
              <w:adjustRightInd w:val="0"/>
              <w:jc w:val="center"/>
            </w:pPr>
            <w:r>
              <w:t>0.0385</w:t>
            </w:r>
          </w:p>
        </w:tc>
      </w:tr>
      <w:tr w:rsidR="00315077" w14:paraId="6336CF70" w14:textId="77777777" w:rsidTr="00315077">
        <w:trPr>
          <w:jc w:val="center"/>
        </w:trPr>
        <w:tc>
          <w:tcPr>
            <w:tcW w:w="4539" w:type="dxa"/>
            <w:tcBorders>
              <w:top w:val="nil"/>
              <w:left w:val="nil"/>
              <w:bottom w:val="nil"/>
              <w:right w:val="nil"/>
            </w:tcBorders>
          </w:tcPr>
          <w:p w14:paraId="5F4FBF0C" w14:textId="77777777" w:rsidR="00315077" w:rsidRDefault="00315077" w:rsidP="00315077">
            <w:pPr>
              <w:widowControl w:val="0"/>
              <w:autoSpaceDE w:val="0"/>
              <w:autoSpaceDN w:val="0"/>
              <w:adjustRightInd w:val="0"/>
            </w:pPr>
          </w:p>
        </w:tc>
        <w:tc>
          <w:tcPr>
            <w:tcW w:w="1296" w:type="dxa"/>
            <w:tcBorders>
              <w:top w:val="nil"/>
              <w:left w:val="nil"/>
              <w:bottom w:val="nil"/>
              <w:right w:val="nil"/>
            </w:tcBorders>
          </w:tcPr>
          <w:p w14:paraId="1161200E" w14:textId="77777777" w:rsidR="00315077" w:rsidRDefault="00315077" w:rsidP="00315077">
            <w:pPr>
              <w:widowControl w:val="0"/>
              <w:autoSpaceDE w:val="0"/>
              <w:autoSpaceDN w:val="0"/>
              <w:adjustRightInd w:val="0"/>
              <w:jc w:val="center"/>
            </w:pPr>
            <w:r>
              <w:t>(1.591)</w:t>
            </w:r>
          </w:p>
        </w:tc>
        <w:tc>
          <w:tcPr>
            <w:tcW w:w="1296" w:type="dxa"/>
            <w:tcBorders>
              <w:top w:val="nil"/>
              <w:left w:val="nil"/>
              <w:bottom w:val="nil"/>
              <w:right w:val="nil"/>
            </w:tcBorders>
          </w:tcPr>
          <w:p w14:paraId="561773C1" w14:textId="77777777" w:rsidR="00315077" w:rsidRDefault="00315077" w:rsidP="00315077">
            <w:pPr>
              <w:widowControl w:val="0"/>
              <w:autoSpaceDE w:val="0"/>
              <w:autoSpaceDN w:val="0"/>
              <w:adjustRightInd w:val="0"/>
              <w:jc w:val="center"/>
            </w:pPr>
          </w:p>
        </w:tc>
        <w:tc>
          <w:tcPr>
            <w:tcW w:w="1296" w:type="dxa"/>
            <w:tcBorders>
              <w:top w:val="nil"/>
              <w:left w:val="nil"/>
              <w:bottom w:val="nil"/>
              <w:right w:val="nil"/>
            </w:tcBorders>
          </w:tcPr>
          <w:p w14:paraId="5CC09591" w14:textId="77777777" w:rsidR="00315077" w:rsidRDefault="00315077" w:rsidP="00315077">
            <w:pPr>
              <w:widowControl w:val="0"/>
              <w:autoSpaceDE w:val="0"/>
              <w:autoSpaceDN w:val="0"/>
              <w:adjustRightInd w:val="0"/>
              <w:jc w:val="center"/>
            </w:pPr>
          </w:p>
        </w:tc>
      </w:tr>
      <w:tr w:rsidR="00315077" w14:paraId="223D5DD7" w14:textId="77777777" w:rsidTr="00315077">
        <w:trPr>
          <w:jc w:val="center"/>
        </w:trPr>
        <w:tc>
          <w:tcPr>
            <w:tcW w:w="4539" w:type="dxa"/>
            <w:tcBorders>
              <w:top w:val="nil"/>
              <w:left w:val="nil"/>
              <w:bottom w:val="nil"/>
              <w:right w:val="nil"/>
            </w:tcBorders>
          </w:tcPr>
          <w:p w14:paraId="48C0EDE1" w14:textId="77777777" w:rsidR="00315077" w:rsidRDefault="00315077" w:rsidP="00315077">
            <w:pPr>
              <w:widowControl w:val="0"/>
              <w:autoSpaceDE w:val="0"/>
              <w:autoSpaceDN w:val="0"/>
              <w:adjustRightInd w:val="0"/>
            </w:pPr>
            <w:r>
              <w:t>10</w:t>
            </w:r>
          </w:p>
        </w:tc>
        <w:tc>
          <w:tcPr>
            <w:tcW w:w="1296" w:type="dxa"/>
            <w:tcBorders>
              <w:top w:val="nil"/>
              <w:left w:val="nil"/>
              <w:bottom w:val="nil"/>
              <w:right w:val="nil"/>
            </w:tcBorders>
          </w:tcPr>
          <w:p w14:paraId="2C72A3AF" w14:textId="77777777" w:rsidR="00315077" w:rsidRDefault="00315077" w:rsidP="00315077">
            <w:pPr>
              <w:widowControl w:val="0"/>
              <w:autoSpaceDE w:val="0"/>
              <w:autoSpaceDN w:val="0"/>
              <w:adjustRightInd w:val="0"/>
              <w:jc w:val="center"/>
            </w:pPr>
            <w:r>
              <w:t>-0.747</w:t>
            </w:r>
          </w:p>
        </w:tc>
        <w:tc>
          <w:tcPr>
            <w:tcW w:w="1296" w:type="dxa"/>
            <w:tcBorders>
              <w:top w:val="nil"/>
              <w:left w:val="nil"/>
              <w:bottom w:val="nil"/>
              <w:right w:val="nil"/>
            </w:tcBorders>
          </w:tcPr>
          <w:p w14:paraId="44FE4D56" w14:textId="77777777" w:rsidR="00315077" w:rsidRDefault="00315077" w:rsidP="00315077">
            <w:pPr>
              <w:widowControl w:val="0"/>
              <w:autoSpaceDE w:val="0"/>
              <w:autoSpaceDN w:val="0"/>
              <w:adjustRightInd w:val="0"/>
              <w:jc w:val="center"/>
            </w:pPr>
          </w:p>
        </w:tc>
        <w:tc>
          <w:tcPr>
            <w:tcW w:w="1296" w:type="dxa"/>
            <w:tcBorders>
              <w:top w:val="nil"/>
              <w:left w:val="nil"/>
              <w:bottom w:val="nil"/>
              <w:right w:val="nil"/>
            </w:tcBorders>
          </w:tcPr>
          <w:p w14:paraId="6AE9B122" w14:textId="77777777" w:rsidR="00315077" w:rsidRDefault="00315077" w:rsidP="00315077">
            <w:pPr>
              <w:widowControl w:val="0"/>
              <w:autoSpaceDE w:val="0"/>
              <w:autoSpaceDN w:val="0"/>
              <w:adjustRightInd w:val="0"/>
              <w:jc w:val="center"/>
            </w:pPr>
          </w:p>
        </w:tc>
      </w:tr>
      <w:tr w:rsidR="00315077" w14:paraId="1A26561B" w14:textId="77777777" w:rsidTr="00315077">
        <w:trPr>
          <w:jc w:val="center"/>
        </w:trPr>
        <w:tc>
          <w:tcPr>
            <w:tcW w:w="4539" w:type="dxa"/>
            <w:tcBorders>
              <w:top w:val="nil"/>
              <w:left w:val="nil"/>
              <w:bottom w:val="nil"/>
              <w:right w:val="nil"/>
            </w:tcBorders>
          </w:tcPr>
          <w:p w14:paraId="2745B795" w14:textId="77777777" w:rsidR="00315077" w:rsidRDefault="00315077" w:rsidP="00315077">
            <w:pPr>
              <w:widowControl w:val="0"/>
              <w:autoSpaceDE w:val="0"/>
              <w:autoSpaceDN w:val="0"/>
              <w:adjustRightInd w:val="0"/>
            </w:pPr>
          </w:p>
        </w:tc>
        <w:tc>
          <w:tcPr>
            <w:tcW w:w="1296" w:type="dxa"/>
            <w:tcBorders>
              <w:top w:val="nil"/>
              <w:left w:val="nil"/>
              <w:bottom w:val="nil"/>
              <w:right w:val="nil"/>
            </w:tcBorders>
          </w:tcPr>
          <w:p w14:paraId="38A084A1" w14:textId="77777777" w:rsidR="00315077" w:rsidRDefault="00315077" w:rsidP="00315077">
            <w:pPr>
              <w:widowControl w:val="0"/>
              <w:autoSpaceDE w:val="0"/>
              <w:autoSpaceDN w:val="0"/>
              <w:adjustRightInd w:val="0"/>
              <w:jc w:val="center"/>
            </w:pPr>
            <w:r>
              <w:t>(1.282)</w:t>
            </w:r>
          </w:p>
        </w:tc>
        <w:tc>
          <w:tcPr>
            <w:tcW w:w="1296" w:type="dxa"/>
            <w:tcBorders>
              <w:top w:val="nil"/>
              <w:left w:val="nil"/>
              <w:bottom w:val="nil"/>
              <w:right w:val="nil"/>
            </w:tcBorders>
          </w:tcPr>
          <w:p w14:paraId="010CE27E" w14:textId="77777777" w:rsidR="00315077" w:rsidRDefault="00315077" w:rsidP="00315077">
            <w:pPr>
              <w:widowControl w:val="0"/>
              <w:autoSpaceDE w:val="0"/>
              <w:autoSpaceDN w:val="0"/>
              <w:adjustRightInd w:val="0"/>
              <w:jc w:val="center"/>
            </w:pPr>
          </w:p>
        </w:tc>
        <w:tc>
          <w:tcPr>
            <w:tcW w:w="1296" w:type="dxa"/>
            <w:tcBorders>
              <w:top w:val="nil"/>
              <w:left w:val="nil"/>
              <w:bottom w:val="nil"/>
              <w:right w:val="nil"/>
            </w:tcBorders>
          </w:tcPr>
          <w:p w14:paraId="6659B29E" w14:textId="77777777" w:rsidR="00315077" w:rsidRDefault="00315077" w:rsidP="00315077">
            <w:pPr>
              <w:widowControl w:val="0"/>
              <w:autoSpaceDE w:val="0"/>
              <w:autoSpaceDN w:val="0"/>
              <w:adjustRightInd w:val="0"/>
              <w:jc w:val="center"/>
            </w:pPr>
          </w:p>
        </w:tc>
      </w:tr>
      <w:tr w:rsidR="00315077" w14:paraId="2E0283C6" w14:textId="77777777" w:rsidTr="00315077">
        <w:trPr>
          <w:jc w:val="center"/>
        </w:trPr>
        <w:tc>
          <w:tcPr>
            <w:tcW w:w="4539" w:type="dxa"/>
            <w:tcBorders>
              <w:top w:val="nil"/>
              <w:left w:val="nil"/>
              <w:bottom w:val="nil"/>
              <w:right w:val="nil"/>
            </w:tcBorders>
          </w:tcPr>
          <w:p w14:paraId="4BC20EAB" w14:textId="77777777" w:rsidR="00315077" w:rsidRDefault="00315077" w:rsidP="00315077">
            <w:pPr>
              <w:widowControl w:val="0"/>
              <w:autoSpaceDE w:val="0"/>
              <w:autoSpaceDN w:val="0"/>
              <w:adjustRightInd w:val="0"/>
            </w:pPr>
            <w:r>
              <w:t>11</w:t>
            </w:r>
          </w:p>
        </w:tc>
        <w:tc>
          <w:tcPr>
            <w:tcW w:w="1296" w:type="dxa"/>
            <w:tcBorders>
              <w:top w:val="nil"/>
              <w:left w:val="nil"/>
              <w:bottom w:val="nil"/>
              <w:right w:val="nil"/>
            </w:tcBorders>
          </w:tcPr>
          <w:p w14:paraId="6EB98D2F" w14:textId="77777777" w:rsidR="00315077" w:rsidRDefault="00315077" w:rsidP="00315077">
            <w:pPr>
              <w:widowControl w:val="0"/>
              <w:autoSpaceDE w:val="0"/>
              <w:autoSpaceDN w:val="0"/>
              <w:adjustRightInd w:val="0"/>
              <w:jc w:val="center"/>
            </w:pPr>
            <w:r>
              <w:t>-0.363</w:t>
            </w:r>
          </w:p>
        </w:tc>
        <w:tc>
          <w:tcPr>
            <w:tcW w:w="1296" w:type="dxa"/>
            <w:tcBorders>
              <w:top w:val="nil"/>
              <w:left w:val="nil"/>
              <w:bottom w:val="nil"/>
              <w:right w:val="nil"/>
            </w:tcBorders>
          </w:tcPr>
          <w:p w14:paraId="5F6A46D3" w14:textId="77777777" w:rsidR="00315077" w:rsidRDefault="00315077" w:rsidP="00315077">
            <w:pPr>
              <w:widowControl w:val="0"/>
              <w:autoSpaceDE w:val="0"/>
              <w:autoSpaceDN w:val="0"/>
              <w:adjustRightInd w:val="0"/>
              <w:jc w:val="center"/>
            </w:pPr>
          </w:p>
        </w:tc>
        <w:tc>
          <w:tcPr>
            <w:tcW w:w="1296" w:type="dxa"/>
            <w:tcBorders>
              <w:top w:val="nil"/>
              <w:left w:val="nil"/>
              <w:bottom w:val="nil"/>
              <w:right w:val="nil"/>
            </w:tcBorders>
          </w:tcPr>
          <w:p w14:paraId="0B2BE525" w14:textId="77777777" w:rsidR="00315077" w:rsidRDefault="00315077" w:rsidP="00315077">
            <w:pPr>
              <w:widowControl w:val="0"/>
              <w:autoSpaceDE w:val="0"/>
              <w:autoSpaceDN w:val="0"/>
              <w:adjustRightInd w:val="0"/>
              <w:jc w:val="center"/>
            </w:pPr>
          </w:p>
        </w:tc>
      </w:tr>
      <w:tr w:rsidR="00315077" w14:paraId="6E63733B" w14:textId="77777777" w:rsidTr="00315077">
        <w:trPr>
          <w:jc w:val="center"/>
        </w:trPr>
        <w:tc>
          <w:tcPr>
            <w:tcW w:w="4539" w:type="dxa"/>
            <w:tcBorders>
              <w:top w:val="nil"/>
              <w:left w:val="nil"/>
              <w:bottom w:val="nil"/>
              <w:right w:val="nil"/>
            </w:tcBorders>
          </w:tcPr>
          <w:p w14:paraId="318619C6" w14:textId="77777777" w:rsidR="00315077" w:rsidRDefault="00315077" w:rsidP="00315077">
            <w:pPr>
              <w:widowControl w:val="0"/>
              <w:autoSpaceDE w:val="0"/>
              <w:autoSpaceDN w:val="0"/>
              <w:adjustRightInd w:val="0"/>
            </w:pPr>
          </w:p>
        </w:tc>
        <w:tc>
          <w:tcPr>
            <w:tcW w:w="1296" w:type="dxa"/>
            <w:tcBorders>
              <w:top w:val="nil"/>
              <w:left w:val="nil"/>
              <w:bottom w:val="nil"/>
              <w:right w:val="nil"/>
            </w:tcBorders>
          </w:tcPr>
          <w:p w14:paraId="0097886A" w14:textId="77777777" w:rsidR="00315077" w:rsidRDefault="00315077" w:rsidP="00315077">
            <w:pPr>
              <w:widowControl w:val="0"/>
              <w:autoSpaceDE w:val="0"/>
              <w:autoSpaceDN w:val="0"/>
              <w:adjustRightInd w:val="0"/>
              <w:jc w:val="center"/>
            </w:pPr>
            <w:r>
              <w:t>(1.294)</w:t>
            </w:r>
          </w:p>
        </w:tc>
        <w:tc>
          <w:tcPr>
            <w:tcW w:w="1296" w:type="dxa"/>
            <w:tcBorders>
              <w:top w:val="nil"/>
              <w:left w:val="nil"/>
              <w:bottom w:val="nil"/>
              <w:right w:val="nil"/>
            </w:tcBorders>
          </w:tcPr>
          <w:p w14:paraId="505908EC" w14:textId="77777777" w:rsidR="00315077" w:rsidRDefault="00315077" w:rsidP="00315077">
            <w:pPr>
              <w:widowControl w:val="0"/>
              <w:autoSpaceDE w:val="0"/>
              <w:autoSpaceDN w:val="0"/>
              <w:adjustRightInd w:val="0"/>
              <w:jc w:val="center"/>
            </w:pPr>
          </w:p>
        </w:tc>
        <w:tc>
          <w:tcPr>
            <w:tcW w:w="1296" w:type="dxa"/>
            <w:tcBorders>
              <w:top w:val="nil"/>
              <w:left w:val="nil"/>
              <w:bottom w:val="nil"/>
              <w:right w:val="nil"/>
            </w:tcBorders>
          </w:tcPr>
          <w:p w14:paraId="02B82B58" w14:textId="77777777" w:rsidR="00315077" w:rsidRDefault="00315077" w:rsidP="00315077">
            <w:pPr>
              <w:widowControl w:val="0"/>
              <w:autoSpaceDE w:val="0"/>
              <w:autoSpaceDN w:val="0"/>
              <w:adjustRightInd w:val="0"/>
              <w:jc w:val="center"/>
            </w:pPr>
          </w:p>
        </w:tc>
      </w:tr>
      <w:tr w:rsidR="00315077" w14:paraId="3876FAAD" w14:textId="77777777" w:rsidTr="00315077">
        <w:trPr>
          <w:jc w:val="center"/>
        </w:trPr>
        <w:tc>
          <w:tcPr>
            <w:tcW w:w="4539" w:type="dxa"/>
            <w:tcBorders>
              <w:top w:val="nil"/>
              <w:left w:val="nil"/>
              <w:bottom w:val="nil"/>
              <w:right w:val="nil"/>
            </w:tcBorders>
          </w:tcPr>
          <w:p w14:paraId="78489B57" w14:textId="77777777" w:rsidR="00315077" w:rsidRDefault="00315077" w:rsidP="00315077">
            <w:pPr>
              <w:widowControl w:val="0"/>
              <w:autoSpaceDE w:val="0"/>
              <w:autoSpaceDN w:val="0"/>
              <w:adjustRightInd w:val="0"/>
            </w:pPr>
            <w:r>
              <w:t>12</w:t>
            </w:r>
          </w:p>
        </w:tc>
        <w:tc>
          <w:tcPr>
            <w:tcW w:w="1296" w:type="dxa"/>
            <w:tcBorders>
              <w:top w:val="nil"/>
              <w:left w:val="nil"/>
              <w:bottom w:val="nil"/>
              <w:right w:val="nil"/>
            </w:tcBorders>
          </w:tcPr>
          <w:p w14:paraId="147C4195" w14:textId="77777777" w:rsidR="00315077" w:rsidRDefault="00315077" w:rsidP="00315077">
            <w:pPr>
              <w:widowControl w:val="0"/>
              <w:autoSpaceDE w:val="0"/>
              <w:autoSpaceDN w:val="0"/>
              <w:adjustRightInd w:val="0"/>
              <w:jc w:val="center"/>
            </w:pPr>
            <w:r>
              <w:t>-0.223</w:t>
            </w:r>
          </w:p>
        </w:tc>
        <w:tc>
          <w:tcPr>
            <w:tcW w:w="1296" w:type="dxa"/>
            <w:tcBorders>
              <w:top w:val="nil"/>
              <w:left w:val="nil"/>
              <w:bottom w:val="nil"/>
              <w:right w:val="nil"/>
            </w:tcBorders>
          </w:tcPr>
          <w:p w14:paraId="7DECB709" w14:textId="77777777" w:rsidR="00315077" w:rsidRDefault="00315077" w:rsidP="00315077">
            <w:pPr>
              <w:widowControl w:val="0"/>
              <w:autoSpaceDE w:val="0"/>
              <w:autoSpaceDN w:val="0"/>
              <w:adjustRightInd w:val="0"/>
              <w:jc w:val="center"/>
            </w:pPr>
          </w:p>
        </w:tc>
        <w:tc>
          <w:tcPr>
            <w:tcW w:w="1296" w:type="dxa"/>
            <w:tcBorders>
              <w:top w:val="nil"/>
              <w:left w:val="nil"/>
              <w:bottom w:val="nil"/>
              <w:right w:val="nil"/>
            </w:tcBorders>
          </w:tcPr>
          <w:p w14:paraId="7D36C02A" w14:textId="77777777" w:rsidR="00315077" w:rsidRDefault="00315077" w:rsidP="00315077">
            <w:pPr>
              <w:widowControl w:val="0"/>
              <w:autoSpaceDE w:val="0"/>
              <w:autoSpaceDN w:val="0"/>
              <w:adjustRightInd w:val="0"/>
              <w:jc w:val="center"/>
            </w:pPr>
          </w:p>
        </w:tc>
      </w:tr>
      <w:tr w:rsidR="00315077" w14:paraId="7D596584" w14:textId="77777777" w:rsidTr="00315077">
        <w:trPr>
          <w:jc w:val="center"/>
        </w:trPr>
        <w:tc>
          <w:tcPr>
            <w:tcW w:w="4539" w:type="dxa"/>
            <w:tcBorders>
              <w:top w:val="nil"/>
              <w:left w:val="nil"/>
              <w:bottom w:val="nil"/>
              <w:right w:val="nil"/>
            </w:tcBorders>
          </w:tcPr>
          <w:p w14:paraId="477B9C95" w14:textId="77777777" w:rsidR="00315077" w:rsidRDefault="00315077" w:rsidP="00315077">
            <w:pPr>
              <w:widowControl w:val="0"/>
              <w:autoSpaceDE w:val="0"/>
              <w:autoSpaceDN w:val="0"/>
              <w:adjustRightInd w:val="0"/>
            </w:pPr>
          </w:p>
        </w:tc>
        <w:tc>
          <w:tcPr>
            <w:tcW w:w="1296" w:type="dxa"/>
            <w:tcBorders>
              <w:top w:val="nil"/>
              <w:left w:val="nil"/>
              <w:bottom w:val="nil"/>
              <w:right w:val="nil"/>
            </w:tcBorders>
          </w:tcPr>
          <w:p w14:paraId="6C32E2E2" w14:textId="77777777" w:rsidR="00315077" w:rsidRDefault="00315077" w:rsidP="00315077">
            <w:pPr>
              <w:widowControl w:val="0"/>
              <w:autoSpaceDE w:val="0"/>
              <w:autoSpaceDN w:val="0"/>
              <w:adjustRightInd w:val="0"/>
              <w:jc w:val="center"/>
            </w:pPr>
            <w:r>
              <w:t>(1.319)</w:t>
            </w:r>
          </w:p>
        </w:tc>
        <w:tc>
          <w:tcPr>
            <w:tcW w:w="1296" w:type="dxa"/>
            <w:tcBorders>
              <w:top w:val="nil"/>
              <w:left w:val="nil"/>
              <w:bottom w:val="nil"/>
              <w:right w:val="nil"/>
            </w:tcBorders>
          </w:tcPr>
          <w:p w14:paraId="7736E15F" w14:textId="77777777" w:rsidR="00315077" w:rsidRDefault="00315077" w:rsidP="00315077">
            <w:pPr>
              <w:widowControl w:val="0"/>
              <w:autoSpaceDE w:val="0"/>
              <w:autoSpaceDN w:val="0"/>
              <w:adjustRightInd w:val="0"/>
              <w:jc w:val="center"/>
            </w:pPr>
          </w:p>
        </w:tc>
        <w:tc>
          <w:tcPr>
            <w:tcW w:w="1296" w:type="dxa"/>
            <w:tcBorders>
              <w:top w:val="nil"/>
              <w:left w:val="nil"/>
              <w:bottom w:val="nil"/>
              <w:right w:val="nil"/>
            </w:tcBorders>
          </w:tcPr>
          <w:p w14:paraId="0F7101A9" w14:textId="77777777" w:rsidR="00315077" w:rsidRDefault="00315077" w:rsidP="00315077">
            <w:pPr>
              <w:widowControl w:val="0"/>
              <w:autoSpaceDE w:val="0"/>
              <w:autoSpaceDN w:val="0"/>
              <w:adjustRightInd w:val="0"/>
              <w:jc w:val="center"/>
            </w:pPr>
          </w:p>
        </w:tc>
      </w:tr>
      <w:tr w:rsidR="00315077" w14:paraId="47D0EE65" w14:textId="77777777" w:rsidTr="00315077">
        <w:trPr>
          <w:jc w:val="center"/>
        </w:trPr>
        <w:tc>
          <w:tcPr>
            <w:tcW w:w="4539" w:type="dxa"/>
            <w:tcBorders>
              <w:top w:val="nil"/>
              <w:left w:val="nil"/>
              <w:bottom w:val="nil"/>
              <w:right w:val="nil"/>
            </w:tcBorders>
          </w:tcPr>
          <w:p w14:paraId="699870D6" w14:textId="77777777" w:rsidR="00315077" w:rsidRDefault="00315077" w:rsidP="00315077">
            <w:pPr>
              <w:widowControl w:val="0"/>
              <w:autoSpaceDE w:val="0"/>
              <w:autoSpaceDN w:val="0"/>
              <w:adjustRightInd w:val="0"/>
            </w:pPr>
            <w:r>
              <w:t>13</w:t>
            </w:r>
          </w:p>
        </w:tc>
        <w:tc>
          <w:tcPr>
            <w:tcW w:w="1296" w:type="dxa"/>
            <w:tcBorders>
              <w:top w:val="nil"/>
              <w:left w:val="nil"/>
              <w:bottom w:val="nil"/>
              <w:right w:val="nil"/>
            </w:tcBorders>
          </w:tcPr>
          <w:p w14:paraId="182DB390" w14:textId="77777777" w:rsidR="00315077" w:rsidRDefault="00315077" w:rsidP="00315077">
            <w:pPr>
              <w:widowControl w:val="0"/>
              <w:autoSpaceDE w:val="0"/>
              <w:autoSpaceDN w:val="0"/>
              <w:adjustRightInd w:val="0"/>
              <w:jc w:val="center"/>
            </w:pPr>
            <w:r>
              <w:t>-0.693</w:t>
            </w:r>
          </w:p>
        </w:tc>
        <w:tc>
          <w:tcPr>
            <w:tcW w:w="1296" w:type="dxa"/>
            <w:tcBorders>
              <w:top w:val="nil"/>
              <w:left w:val="nil"/>
              <w:bottom w:val="nil"/>
              <w:right w:val="nil"/>
            </w:tcBorders>
          </w:tcPr>
          <w:p w14:paraId="2C4E4B6B" w14:textId="77777777" w:rsidR="00315077" w:rsidRDefault="00315077" w:rsidP="00315077">
            <w:pPr>
              <w:widowControl w:val="0"/>
              <w:autoSpaceDE w:val="0"/>
              <w:autoSpaceDN w:val="0"/>
              <w:adjustRightInd w:val="0"/>
              <w:jc w:val="center"/>
            </w:pPr>
          </w:p>
        </w:tc>
        <w:tc>
          <w:tcPr>
            <w:tcW w:w="1296" w:type="dxa"/>
            <w:tcBorders>
              <w:top w:val="nil"/>
              <w:left w:val="nil"/>
              <w:bottom w:val="nil"/>
              <w:right w:val="nil"/>
            </w:tcBorders>
          </w:tcPr>
          <w:p w14:paraId="52B012E0" w14:textId="77777777" w:rsidR="00315077" w:rsidRDefault="00315077" w:rsidP="00315077">
            <w:pPr>
              <w:widowControl w:val="0"/>
              <w:autoSpaceDE w:val="0"/>
              <w:autoSpaceDN w:val="0"/>
              <w:adjustRightInd w:val="0"/>
              <w:jc w:val="center"/>
            </w:pPr>
          </w:p>
        </w:tc>
      </w:tr>
      <w:tr w:rsidR="00315077" w14:paraId="33EB9470" w14:textId="77777777" w:rsidTr="00315077">
        <w:trPr>
          <w:jc w:val="center"/>
        </w:trPr>
        <w:tc>
          <w:tcPr>
            <w:tcW w:w="4539" w:type="dxa"/>
            <w:tcBorders>
              <w:top w:val="nil"/>
              <w:left w:val="nil"/>
              <w:bottom w:val="nil"/>
              <w:right w:val="nil"/>
            </w:tcBorders>
          </w:tcPr>
          <w:p w14:paraId="35567C6C" w14:textId="77777777" w:rsidR="00315077" w:rsidRDefault="00315077" w:rsidP="00315077">
            <w:pPr>
              <w:widowControl w:val="0"/>
              <w:autoSpaceDE w:val="0"/>
              <w:autoSpaceDN w:val="0"/>
              <w:adjustRightInd w:val="0"/>
            </w:pPr>
          </w:p>
        </w:tc>
        <w:tc>
          <w:tcPr>
            <w:tcW w:w="1296" w:type="dxa"/>
            <w:tcBorders>
              <w:top w:val="nil"/>
              <w:left w:val="nil"/>
              <w:bottom w:val="nil"/>
              <w:right w:val="nil"/>
            </w:tcBorders>
          </w:tcPr>
          <w:p w14:paraId="51F00C02" w14:textId="77777777" w:rsidR="00315077" w:rsidRDefault="00315077" w:rsidP="00315077">
            <w:pPr>
              <w:widowControl w:val="0"/>
              <w:autoSpaceDE w:val="0"/>
              <w:autoSpaceDN w:val="0"/>
              <w:adjustRightInd w:val="0"/>
              <w:jc w:val="center"/>
            </w:pPr>
            <w:r>
              <w:t>(1.387)</w:t>
            </w:r>
          </w:p>
        </w:tc>
        <w:tc>
          <w:tcPr>
            <w:tcW w:w="1296" w:type="dxa"/>
            <w:tcBorders>
              <w:top w:val="nil"/>
              <w:left w:val="nil"/>
              <w:bottom w:val="nil"/>
              <w:right w:val="nil"/>
            </w:tcBorders>
          </w:tcPr>
          <w:p w14:paraId="01097B3A" w14:textId="77777777" w:rsidR="00315077" w:rsidRDefault="00315077" w:rsidP="00315077">
            <w:pPr>
              <w:widowControl w:val="0"/>
              <w:autoSpaceDE w:val="0"/>
              <w:autoSpaceDN w:val="0"/>
              <w:adjustRightInd w:val="0"/>
              <w:jc w:val="center"/>
            </w:pPr>
          </w:p>
        </w:tc>
        <w:tc>
          <w:tcPr>
            <w:tcW w:w="1296" w:type="dxa"/>
            <w:tcBorders>
              <w:top w:val="nil"/>
              <w:left w:val="nil"/>
              <w:bottom w:val="nil"/>
              <w:right w:val="nil"/>
            </w:tcBorders>
          </w:tcPr>
          <w:p w14:paraId="63C91305" w14:textId="77777777" w:rsidR="00315077" w:rsidRDefault="00315077" w:rsidP="00315077">
            <w:pPr>
              <w:widowControl w:val="0"/>
              <w:autoSpaceDE w:val="0"/>
              <w:autoSpaceDN w:val="0"/>
              <w:adjustRightInd w:val="0"/>
              <w:jc w:val="center"/>
            </w:pPr>
          </w:p>
        </w:tc>
      </w:tr>
      <w:tr w:rsidR="00315077" w14:paraId="7732DAF1" w14:textId="77777777" w:rsidTr="00315077">
        <w:trPr>
          <w:jc w:val="center"/>
        </w:trPr>
        <w:tc>
          <w:tcPr>
            <w:tcW w:w="4539" w:type="dxa"/>
            <w:tcBorders>
              <w:top w:val="nil"/>
              <w:left w:val="nil"/>
              <w:bottom w:val="nil"/>
              <w:right w:val="nil"/>
            </w:tcBorders>
          </w:tcPr>
          <w:p w14:paraId="6FAA6806" w14:textId="77777777" w:rsidR="00315077" w:rsidRDefault="00315077" w:rsidP="00315077">
            <w:pPr>
              <w:widowControl w:val="0"/>
              <w:autoSpaceDE w:val="0"/>
              <w:autoSpaceDN w:val="0"/>
              <w:adjustRightInd w:val="0"/>
            </w:pPr>
            <w:r>
              <w:t>14</w:t>
            </w:r>
          </w:p>
        </w:tc>
        <w:tc>
          <w:tcPr>
            <w:tcW w:w="1296" w:type="dxa"/>
            <w:tcBorders>
              <w:top w:val="nil"/>
              <w:left w:val="nil"/>
              <w:bottom w:val="nil"/>
              <w:right w:val="nil"/>
            </w:tcBorders>
          </w:tcPr>
          <w:p w14:paraId="77659820" w14:textId="77777777" w:rsidR="00315077" w:rsidRDefault="00315077" w:rsidP="00315077">
            <w:pPr>
              <w:widowControl w:val="0"/>
              <w:autoSpaceDE w:val="0"/>
              <w:autoSpaceDN w:val="0"/>
              <w:adjustRightInd w:val="0"/>
              <w:jc w:val="center"/>
            </w:pPr>
            <w:r>
              <w:t>-0.154</w:t>
            </w:r>
          </w:p>
        </w:tc>
        <w:tc>
          <w:tcPr>
            <w:tcW w:w="1296" w:type="dxa"/>
            <w:tcBorders>
              <w:top w:val="nil"/>
              <w:left w:val="nil"/>
              <w:bottom w:val="nil"/>
              <w:right w:val="nil"/>
            </w:tcBorders>
          </w:tcPr>
          <w:p w14:paraId="0F89FDD6" w14:textId="77777777" w:rsidR="00315077" w:rsidRDefault="00315077" w:rsidP="00315077">
            <w:pPr>
              <w:widowControl w:val="0"/>
              <w:autoSpaceDE w:val="0"/>
              <w:autoSpaceDN w:val="0"/>
              <w:adjustRightInd w:val="0"/>
              <w:jc w:val="center"/>
            </w:pPr>
          </w:p>
        </w:tc>
        <w:tc>
          <w:tcPr>
            <w:tcW w:w="1296" w:type="dxa"/>
            <w:tcBorders>
              <w:top w:val="nil"/>
              <w:left w:val="nil"/>
              <w:bottom w:val="nil"/>
              <w:right w:val="nil"/>
            </w:tcBorders>
          </w:tcPr>
          <w:p w14:paraId="3BDBB81C" w14:textId="77777777" w:rsidR="00315077" w:rsidRDefault="00315077" w:rsidP="00315077">
            <w:pPr>
              <w:widowControl w:val="0"/>
              <w:autoSpaceDE w:val="0"/>
              <w:autoSpaceDN w:val="0"/>
              <w:adjustRightInd w:val="0"/>
              <w:jc w:val="center"/>
            </w:pPr>
          </w:p>
        </w:tc>
      </w:tr>
      <w:tr w:rsidR="00315077" w14:paraId="0D325A33" w14:textId="77777777" w:rsidTr="00315077">
        <w:trPr>
          <w:jc w:val="center"/>
        </w:trPr>
        <w:tc>
          <w:tcPr>
            <w:tcW w:w="4539" w:type="dxa"/>
            <w:tcBorders>
              <w:top w:val="nil"/>
              <w:left w:val="nil"/>
              <w:bottom w:val="nil"/>
              <w:right w:val="nil"/>
            </w:tcBorders>
          </w:tcPr>
          <w:p w14:paraId="75064868" w14:textId="77777777" w:rsidR="00315077" w:rsidRDefault="00315077" w:rsidP="00315077">
            <w:pPr>
              <w:widowControl w:val="0"/>
              <w:autoSpaceDE w:val="0"/>
              <w:autoSpaceDN w:val="0"/>
              <w:adjustRightInd w:val="0"/>
            </w:pPr>
          </w:p>
        </w:tc>
        <w:tc>
          <w:tcPr>
            <w:tcW w:w="1296" w:type="dxa"/>
            <w:tcBorders>
              <w:top w:val="nil"/>
              <w:left w:val="nil"/>
              <w:bottom w:val="nil"/>
              <w:right w:val="nil"/>
            </w:tcBorders>
          </w:tcPr>
          <w:p w14:paraId="0D14BD8A" w14:textId="77777777" w:rsidR="00315077" w:rsidRDefault="00315077" w:rsidP="00315077">
            <w:pPr>
              <w:widowControl w:val="0"/>
              <w:autoSpaceDE w:val="0"/>
              <w:autoSpaceDN w:val="0"/>
              <w:adjustRightInd w:val="0"/>
              <w:jc w:val="center"/>
            </w:pPr>
            <w:r>
              <w:t>(1.409)</w:t>
            </w:r>
          </w:p>
        </w:tc>
        <w:tc>
          <w:tcPr>
            <w:tcW w:w="1296" w:type="dxa"/>
            <w:tcBorders>
              <w:top w:val="nil"/>
              <w:left w:val="nil"/>
              <w:bottom w:val="nil"/>
              <w:right w:val="nil"/>
            </w:tcBorders>
          </w:tcPr>
          <w:p w14:paraId="6FB7FF11" w14:textId="77777777" w:rsidR="00315077" w:rsidRDefault="00315077" w:rsidP="00315077">
            <w:pPr>
              <w:widowControl w:val="0"/>
              <w:autoSpaceDE w:val="0"/>
              <w:autoSpaceDN w:val="0"/>
              <w:adjustRightInd w:val="0"/>
              <w:jc w:val="center"/>
            </w:pPr>
          </w:p>
        </w:tc>
        <w:tc>
          <w:tcPr>
            <w:tcW w:w="1296" w:type="dxa"/>
            <w:tcBorders>
              <w:top w:val="nil"/>
              <w:left w:val="nil"/>
              <w:bottom w:val="nil"/>
              <w:right w:val="nil"/>
            </w:tcBorders>
          </w:tcPr>
          <w:p w14:paraId="00C12844" w14:textId="77777777" w:rsidR="00315077" w:rsidRDefault="00315077" w:rsidP="00315077">
            <w:pPr>
              <w:widowControl w:val="0"/>
              <w:autoSpaceDE w:val="0"/>
              <w:autoSpaceDN w:val="0"/>
              <w:adjustRightInd w:val="0"/>
              <w:jc w:val="center"/>
            </w:pPr>
          </w:p>
        </w:tc>
      </w:tr>
      <w:tr w:rsidR="00315077" w14:paraId="6346761D" w14:textId="77777777" w:rsidTr="00315077">
        <w:trPr>
          <w:jc w:val="center"/>
        </w:trPr>
        <w:tc>
          <w:tcPr>
            <w:tcW w:w="4539" w:type="dxa"/>
            <w:tcBorders>
              <w:top w:val="nil"/>
              <w:left w:val="nil"/>
              <w:bottom w:val="nil"/>
              <w:right w:val="nil"/>
            </w:tcBorders>
          </w:tcPr>
          <w:p w14:paraId="5FBB116C" w14:textId="77777777" w:rsidR="00315077" w:rsidRDefault="00315077" w:rsidP="00315077">
            <w:pPr>
              <w:widowControl w:val="0"/>
              <w:autoSpaceDE w:val="0"/>
              <w:autoSpaceDN w:val="0"/>
              <w:adjustRightInd w:val="0"/>
            </w:pPr>
            <w:r>
              <w:t>15</w:t>
            </w:r>
          </w:p>
        </w:tc>
        <w:tc>
          <w:tcPr>
            <w:tcW w:w="1296" w:type="dxa"/>
            <w:tcBorders>
              <w:top w:val="nil"/>
              <w:left w:val="nil"/>
              <w:bottom w:val="nil"/>
              <w:right w:val="nil"/>
            </w:tcBorders>
          </w:tcPr>
          <w:p w14:paraId="269838BC" w14:textId="77777777" w:rsidR="00315077" w:rsidRDefault="00315077" w:rsidP="00315077">
            <w:pPr>
              <w:widowControl w:val="0"/>
              <w:autoSpaceDE w:val="0"/>
              <w:autoSpaceDN w:val="0"/>
              <w:adjustRightInd w:val="0"/>
              <w:jc w:val="center"/>
            </w:pPr>
            <w:r>
              <w:t>-0.916</w:t>
            </w:r>
          </w:p>
        </w:tc>
        <w:tc>
          <w:tcPr>
            <w:tcW w:w="1296" w:type="dxa"/>
            <w:tcBorders>
              <w:top w:val="nil"/>
              <w:left w:val="nil"/>
              <w:bottom w:val="nil"/>
              <w:right w:val="nil"/>
            </w:tcBorders>
          </w:tcPr>
          <w:p w14:paraId="38C55405" w14:textId="77777777" w:rsidR="00315077" w:rsidRDefault="00315077" w:rsidP="00315077">
            <w:pPr>
              <w:widowControl w:val="0"/>
              <w:autoSpaceDE w:val="0"/>
              <w:autoSpaceDN w:val="0"/>
              <w:adjustRightInd w:val="0"/>
              <w:jc w:val="center"/>
            </w:pPr>
          </w:p>
        </w:tc>
        <w:tc>
          <w:tcPr>
            <w:tcW w:w="1296" w:type="dxa"/>
            <w:tcBorders>
              <w:top w:val="nil"/>
              <w:left w:val="nil"/>
              <w:bottom w:val="nil"/>
              <w:right w:val="nil"/>
            </w:tcBorders>
          </w:tcPr>
          <w:p w14:paraId="053527D9" w14:textId="77777777" w:rsidR="00315077" w:rsidRDefault="00315077" w:rsidP="00315077">
            <w:pPr>
              <w:widowControl w:val="0"/>
              <w:autoSpaceDE w:val="0"/>
              <w:autoSpaceDN w:val="0"/>
              <w:adjustRightInd w:val="0"/>
              <w:jc w:val="center"/>
            </w:pPr>
          </w:p>
        </w:tc>
      </w:tr>
      <w:tr w:rsidR="00315077" w14:paraId="01698E2A" w14:textId="77777777" w:rsidTr="00315077">
        <w:trPr>
          <w:jc w:val="center"/>
        </w:trPr>
        <w:tc>
          <w:tcPr>
            <w:tcW w:w="4539" w:type="dxa"/>
            <w:tcBorders>
              <w:top w:val="nil"/>
              <w:left w:val="nil"/>
              <w:bottom w:val="nil"/>
              <w:right w:val="nil"/>
            </w:tcBorders>
          </w:tcPr>
          <w:p w14:paraId="212E1EEA" w14:textId="77777777" w:rsidR="00315077" w:rsidRDefault="00315077" w:rsidP="00315077">
            <w:pPr>
              <w:widowControl w:val="0"/>
              <w:autoSpaceDE w:val="0"/>
              <w:autoSpaceDN w:val="0"/>
              <w:adjustRightInd w:val="0"/>
            </w:pPr>
          </w:p>
        </w:tc>
        <w:tc>
          <w:tcPr>
            <w:tcW w:w="1296" w:type="dxa"/>
            <w:tcBorders>
              <w:top w:val="nil"/>
              <w:left w:val="nil"/>
              <w:bottom w:val="nil"/>
              <w:right w:val="nil"/>
            </w:tcBorders>
          </w:tcPr>
          <w:p w14:paraId="0164AB76" w14:textId="77777777" w:rsidR="00315077" w:rsidRDefault="00315077" w:rsidP="00315077">
            <w:pPr>
              <w:widowControl w:val="0"/>
              <w:autoSpaceDE w:val="0"/>
              <w:autoSpaceDN w:val="0"/>
              <w:adjustRightInd w:val="0"/>
              <w:jc w:val="center"/>
            </w:pPr>
            <w:r>
              <w:t>(1.647)</w:t>
            </w:r>
          </w:p>
        </w:tc>
        <w:tc>
          <w:tcPr>
            <w:tcW w:w="1296" w:type="dxa"/>
            <w:tcBorders>
              <w:top w:val="nil"/>
              <w:left w:val="nil"/>
              <w:bottom w:val="nil"/>
              <w:right w:val="nil"/>
            </w:tcBorders>
          </w:tcPr>
          <w:p w14:paraId="0E12870A" w14:textId="77777777" w:rsidR="00315077" w:rsidRDefault="00315077" w:rsidP="00315077">
            <w:pPr>
              <w:widowControl w:val="0"/>
              <w:autoSpaceDE w:val="0"/>
              <w:autoSpaceDN w:val="0"/>
              <w:adjustRightInd w:val="0"/>
              <w:jc w:val="center"/>
            </w:pPr>
          </w:p>
        </w:tc>
        <w:tc>
          <w:tcPr>
            <w:tcW w:w="1296" w:type="dxa"/>
            <w:tcBorders>
              <w:top w:val="nil"/>
              <w:left w:val="nil"/>
              <w:bottom w:val="nil"/>
              <w:right w:val="nil"/>
            </w:tcBorders>
          </w:tcPr>
          <w:p w14:paraId="77D354CF" w14:textId="77777777" w:rsidR="00315077" w:rsidRDefault="00315077" w:rsidP="00315077">
            <w:pPr>
              <w:widowControl w:val="0"/>
              <w:autoSpaceDE w:val="0"/>
              <w:autoSpaceDN w:val="0"/>
              <w:adjustRightInd w:val="0"/>
              <w:jc w:val="center"/>
            </w:pPr>
          </w:p>
        </w:tc>
      </w:tr>
      <w:tr w:rsidR="00315077" w14:paraId="1F5DF23F" w14:textId="77777777" w:rsidTr="00315077">
        <w:trPr>
          <w:jc w:val="center"/>
        </w:trPr>
        <w:tc>
          <w:tcPr>
            <w:tcW w:w="4539" w:type="dxa"/>
            <w:tcBorders>
              <w:top w:val="nil"/>
              <w:left w:val="nil"/>
              <w:bottom w:val="nil"/>
              <w:right w:val="nil"/>
            </w:tcBorders>
          </w:tcPr>
          <w:p w14:paraId="497F8DFD" w14:textId="77777777" w:rsidR="00315077" w:rsidRDefault="00315077" w:rsidP="00315077">
            <w:pPr>
              <w:widowControl w:val="0"/>
              <w:autoSpaceDE w:val="0"/>
              <w:autoSpaceDN w:val="0"/>
              <w:adjustRightInd w:val="0"/>
            </w:pPr>
          </w:p>
        </w:tc>
        <w:tc>
          <w:tcPr>
            <w:tcW w:w="1296" w:type="dxa"/>
            <w:tcBorders>
              <w:top w:val="nil"/>
              <w:left w:val="nil"/>
              <w:bottom w:val="nil"/>
              <w:right w:val="nil"/>
            </w:tcBorders>
          </w:tcPr>
          <w:p w14:paraId="3D770D9C" w14:textId="77777777" w:rsidR="00315077" w:rsidRDefault="00315077" w:rsidP="00315077">
            <w:pPr>
              <w:widowControl w:val="0"/>
              <w:autoSpaceDE w:val="0"/>
              <w:autoSpaceDN w:val="0"/>
              <w:adjustRightInd w:val="0"/>
              <w:jc w:val="center"/>
            </w:pPr>
          </w:p>
        </w:tc>
        <w:tc>
          <w:tcPr>
            <w:tcW w:w="1296" w:type="dxa"/>
            <w:tcBorders>
              <w:top w:val="nil"/>
              <w:left w:val="nil"/>
              <w:bottom w:val="nil"/>
              <w:right w:val="nil"/>
            </w:tcBorders>
          </w:tcPr>
          <w:p w14:paraId="1B51F1CA" w14:textId="77777777" w:rsidR="00315077" w:rsidRDefault="00315077" w:rsidP="00315077">
            <w:pPr>
              <w:widowControl w:val="0"/>
              <w:autoSpaceDE w:val="0"/>
              <w:autoSpaceDN w:val="0"/>
              <w:adjustRightInd w:val="0"/>
              <w:jc w:val="center"/>
            </w:pPr>
          </w:p>
        </w:tc>
        <w:tc>
          <w:tcPr>
            <w:tcW w:w="1296" w:type="dxa"/>
            <w:tcBorders>
              <w:top w:val="nil"/>
              <w:left w:val="nil"/>
              <w:bottom w:val="nil"/>
              <w:right w:val="nil"/>
            </w:tcBorders>
          </w:tcPr>
          <w:p w14:paraId="31B59D3D" w14:textId="77777777" w:rsidR="00315077" w:rsidRDefault="00315077" w:rsidP="00315077">
            <w:pPr>
              <w:widowControl w:val="0"/>
              <w:autoSpaceDE w:val="0"/>
              <w:autoSpaceDN w:val="0"/>
              <w:adjustRightInd w:val="0"/>
              <w:jc w:val="center"/>
            </w:pPr>
          </w:p>
        </w:tc>
      </w:tr>
      <w:tr w:rsidR="00315077" w14:paraId="5FE60AEB" w14:textId="77777777" w:rsidTr="00315077">
        <w:trPr>
          <w:jc w:val="center"/>
        </w:trPr>
        <w:tc>
          <w:tcPr>
            <w:tcW w:w="4539" w:type="dxa"/>
            <w:tcBorders>
              <w:top w:val="nil"/>
              <w:left w:val="nil"/>
              <w:bottom w:val="nil"/>
              <w:right w:val="nil"/>
            </w:tcBorders>
          </w:tcPr>
          <w:p w14:paraId="7223207E" w14:textId="77777777" w:rsidR="00315077" w:rsidRDefault="00315077" w:rsidP="00315077">
            <w:pPr>
              <w:widowControl w:val="0"/>
              <w:autoSpaceDE w:val="0"/>
              <w:autoSpaceDN w:val="0"/>
              <w:adjustRightInd w:val="0"/>
            </w:pPr>
            <w:r>
              <w:t>Observations</w:t>
            </w:r>
          </w:p>
        </w:tc>
        <w:tc>
          <w:tcPr>
            <w:tcW w:w="1296" w:type="dxa"/>
            <w:tcBorders>
              <w:top w:val="nil"/>
              <w:left w:val="nil"/>
              <w:bottom w:val="nil"/>
              <w:right w:val="nil"/>
            </w:tcBorders>
          </w:tcPr>
          <w:p w14:paraId="48A27829" w14:textId="77777777" w:rsidR="00315077" w:rsidRDefault="00315077" w:rsidP="00315077">
            <w:pPr>
              <w:widowControl w:val="0"/>
              <w:autoSpaceDE w:val="0"/>
              <w:autoSpaceDN w:val="0"/>
              <w:adjustRightInd w:val="0"/>
              <w:jc w:val="center"/>
            </w:pPr>
            <w:r>
              <w:t>1,125</w:t>
            </w:r>
          </w:p>
        </w:tc>
        <w:tc>
          <w:tcPr>
            <w:tcW w:w="1296" w:type="dxa"/>
            <w:tcBorders>
              <w:top w:val="nil"/>
              <w:left w:val="nil"/>
              <w:bottom w:val="nil"/>
              <w:right w:val="nil"/>
            </w:tcBorders>
          </w:tcPr>
          <w:p w14:paraId="1BE89670" w14:textId="77777777" w:rsidR="00315077" w:rsidRDefault="00315077" w:rsidP="00315077">
            <w:pPr>
              <w:widowControl w:val="0"/>
              <w:autoSpaceDE w:val="0"/>
              <w:autoSpaceDN w:val="0"/>
              <w:adjustRightInd w:val="0"/>
              <w:jc w:val="center"/>
            </w:pPr>
          </w:p>
        </w:tc>
        <w:tc>
          <w:tcPr>
            <w:tcW w:w="1296" w:type="dxa"/>
            <w:tcBorders>
              <w:top w:val="nil"/>
              <w:left w:val="nil"/>
              <w:bottom w:val="nil"/>
              <w:right w:val="nil"/>
            </w:tcBorders>
          </w:tcPr>
          <w:p w14:paraId="44DFFC7C" w14:textId="77777777" w:rsidR="00315077" w:rsidRDefault="00315077" w:rsidP="00315077">
            <w:pPr>
              <w:widowControl w:val="0"/>
              <w:autoSpaceDE w:val="0"/>
              <w:autoSpaceDN w:val="0"/>
              <w:adjustRightInd w:val="0"/>
              <w:jc w:val="center"/>
            </w:pPr>
          </w:p>
        </w:tc>
      </w:tr>
      <w:tr w:rsidR="00315077" w14:paraId="3849DB23" w14:textId="77777777" w:rsidTr="00315077">
        <w:tblPrEx>
          <w:tblBorders>
            <w:bottom w:val="single" w:sz="6" w:space="0" w:color="auto"/>
          </w:tblBorders>
        </w:tblPrEx>
        <w:trPr>
          <w:jc w:val="center"/>
        </w:trPr>
        <w:tc>
          <w:tcPr>
            <w:tcW w:w="4539" w:type="dxa"/>
            <w:tcBorders>
              <w:top w:val="nil"/>
              <w:left w:val="nil"/>
              <w:bottom w:val="single" w:sz="6" w:space="0" w:color="auto"/>
              <w:right w:val="nil"/>
            </w:tcBorders>
          </w:tcPr>
          <w:p w14:paraId="173DCC77" w14:textId="77777777" w:rsidR="00315077" w:rsidRDefault="00315077" w:rsidP="00315077">
            <w:pPr>
              <w:widowControl w:val="0"/>
              <w:autoSpaceDE w:val="0"/>
              <w:autoSpaceDN w:val="0"/>
              <w:adjustRightInd w:val="0"/>
            </w:pPr>
            <w:r>
              <w:t>Pseudo R2</w:t>
            </w:r>
          </w:p>
        </w:tc>
        <w:tc>
          <w:tcPr>
            <w:tcW w:w="1296" w:type="dxa"/>
            <w:tcBorders>
              <w:top w:val="nil"/>
              <w:left w:val="nil"/>
              <w:bottom w:val="single" w:sz="6" w:space="0" w:color="auto"/>
              <w:right w:val="nil"/>
            </w:tcBorders>
          </w:tcPr>
          <w:p w14:paraId="38D9A4B5" w14:textId="77777777" w:rsidR="00315077" w:rsidRDefault="00315077" w:rsidP="00315077">
            <w:pPr>
              <w:widowControl w:val="0"/>
              <w:autoSpaceDE w:val="0"/>
              <w:autoSpaceDN w:val="0"/>
              <w:adjustRightInd w:val="0"/>
              <w:jc w:val="center"/>
            </w:pPr>
            <w:r>
              <w:t>0.0795</w:t>
            </w:r>
          </w:p>
        </w:tc>
        <w:tc>
          <w:tcPr>
            <w:tcW w:w="1296" w:type="dxa"/>
            <w:tcBorders>
              <w:top w:val="nil"/>
              <w:left w:val="nil"/>
              <w:bottom w:val="single" w:sz="6" w:space="0" w:color="auto"/>
              <w:right w:val="nil"/>
            </w:tcBorders>
          </w:tcPr>
          <w:p w14:paraId="1090856E" w14:textId="77777777" w:rsidR="00315077" w:rsidRDefault="00315077" w:rsidP="00315077">
            <w:pPr>
              <w:widowControl w:val="0"/>
              <w:autoSpaceDE w:val="0"/>
              <w:autoSpaceDN w:val="0"/>
              <w:adjustRightInd w:val="0"/>
              <w:jc w:val="center"/>
            </w:pPr>
          </w:p>
        </w:tc>
        <w:tc>
          <w:tcPr>
            <w:tcW w:w="1296" w:type="dxa"/>
            <w:tcBorders>
              <w:top w:val="nil"/>
              <w:left w:val="nil"/>
              <w:bottom w:val="single" w:sz="6" w:space="0" w:color="auto"/>
              <w:right w:val="nil"/>
            </w:tcBorders>
          </w:tcPr>
          <w:p w14:paraId="135B7FFD" w14:textId="77777777" w:rsidR="00315077" w:rsidRDefault="00315077" w:rsidP="00315077">
            <w:pPr>
              <w:widowControl w:val="0"/>
              <w:autoSpaceDE w:val="0"/>
              <w:autoSpaceDN w:val="0"/>
              <w:adjustRightInd w:val="0"/>
              <w:jc w:val="center"/>
            </w:pPr>
          </w:p>
        </w:tc>
      </w:tr>
    </w:tbl>
    <w:p w14:paraId="04689979" w14:textId="77777777" w:rsidR="00315077" w:rsidRDefault="00315077" w:rsidP="00315077">
      <w:pPr>
        <w:widowControl w:val="0"/>
        <w:autoSpaceDE w:val="0"/>
        <w:autoSpaceDN w:val="0"/>
        <w:adjustRightInd w:val="0"/>
        <w:jc w:val="center"/>
      </w:pPr>
      <w:r>
        <w:t>*** p&lt;0.01, ** p&lt;0.05, * p&lt;0.1</w:t>
      </w:r>
    </w:p>
    <w:p w14:paraId="3BD45C92" w14:textId="77777777" w:rsidR="00315077" w:rsidRDefault="00315077" w:rsidP="00315077">
      <w:pPr>
        <w:spacing w:after="160" w:line="259" w:lineRule="auto"/>
      </w:pPr>
      <w:r>
        <w:br w:type="page"/>
      </w:r>
    </w:p>
    <w:p w14:paraId="5CF02DEB" w14:textId="3CCD1CFA" w:rsidR="00315077" w:rsidRPr="00127C2E" w:rsidRDefault="00315077" w:rsidP="00315077">
      <w:pPr>
        <w:spacing w:after="160"/>
        <w:jc w:val="center"/>
        <w:rPr>
          <w:b/>
          <w:bCs/>
        </w:rPr>
      </w:pPr>
      <w:r w:rsidRPr="00127C2E">
        <w:rPr>
          <w:b/>
          <w:bCs/>
        </w:rPr>
        <w:lastRenderedPageBreak/>
        <w:t>Figure A1</w:t>
      </w:r>
      <w:r w:rsidR="00127C2E" w:rsidRPr="00127C2E">
        <w:rPr>
          <w:b/>
          <w:bCs/>
        </w:rPr>
        <w:t xml:space="preserve">: </w:t>
      </w:r>
      <w:r w:rsidRPr="00127C2E">
        <w:rPr>
          <w:b/>
          <w:bCs/>
        </w:rPr>
        <w:t xml:space="preserve">Effects of </w:t>
      </w:r>
      <w:r w:rsidR="00127C2E" w:rsidRPr="00127C2E">
        <w:rPr>
          <w:b/>
          <w:bCs/>
        </w:rPr>
        <w:t>L</w:t>
      </w:r>
      <w:r w:rsidRPr="00127C2E">
        <w:rPr>
          <w:b/>
          <w:bCs/>
        </w:rPr>
        <w:t xml:space="preserve">eadership </w:t>
      </w:r>
      <w:r w:rsidR="00127C2E" w:rsidRPr="00127C2E">
        <w:rPr>
          <w:b/>
          <w:bCs/>
        </w:rPr>
        <w:t>T</w:t>
      </w:r>
      <w:r w:rsidRPr="00127C2E">
        <w:rPr>
          <w:b/>
          <w:bCs/>
        </w:rPr>
        <w:t xml:space="preserve">enure on </w:t>
      </w:r>
      <w:r w:rsidR="00127C2E" w:rsidRPr="00127C2E">
        <w:rPr>
          <w:b/>
          <w:bCs/>
        </w:rPr>
        <w:t>Ke</w:t>
      </w:r>
      <w:r w:rsidRPr="00127C2E">
        <w:rPr>
          <w:b/>
          <w:bCs/>
        </w:rPr>
        <w:t xml:space="preserve">y </w:t>
      </w:r>
      <w:r w:rsidR="00127C2E" w:rsidRPr="00127C2E">
        <w:rPr>
          <w:b/>
          <w:bCs/>
        </w:rPr>
        <w:t>O</w:t>
      </w:r>
      <w:r w:rsidRPr="00127C2E">
        <w:rPr>
          <w:b/>
          <w:bCs/>
        </w:rPr>
        <w:t>utcomes</w:t>
      </w:r>
    </w:p>
    <w:p w14:paraId="051E8B42" w14:textId="77777777" w:rsidR="00315077" w:rsidRDefault="00315077" w:rsidP="00315077">
      <w:pPr>
        <w:spacing w:after="160"/>
        <w:jc w:val="center"/>
      </w:pPr>
      <w:r>
        <w:t xml:space="preserve">Panel A Power Continuation </w:t>
      </w:r>
      <w:r>
        <w:tab/>
      </w:r>
      <w:r>
        <w:tab/>
        <w:t>Panel B Multinomial: Government</w:t>
      </w:r>
    </w:p>
    <w:p w14:paraId="7FD11241" w14:textId="77777777" w:rsidR="00315077" w:rsidRDefault="00315077" w:rsidP="00315077">
      <w:pPr>
        <w:spacing w:after="160"/>
      </w:pPr>
      <w:r>
        <w:rPr>
          <w:noProof/>
        </w:rPr>
        <w:drawing>
          <wp:inline distT="0" distB="0" distL="0" distR="0" wp14:anchorId="4970DC89" wp14:editId="09C946CB">
            <wp:extent cx="2914650" cy="2119661"/>
            <wp:effectExtent l="0" t="0" r="0" b="0"/>
            <wp:docPr id="63" name="Picture 6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a:blip r:embed="rId25"/>
                    <a:stretch>
                      <a:fillRect/>
                    </a:stretch>
                  </pic:blipFill>
                  <pic:spPr>
                    <a:xfrm>
                      <a:off x="0" y="0"/>
                      <a:ext cx="2919730" cy="2123355"/>
                    </a:xfrm>
                    <a:prstGeom prst="rect">
                      <a:avLst/>
                    </a:prstGeom>
                  </pic:spPr>
                </pic:pic>
              </a:graphicData>
            </a:graphic>
          </wp:inline>
        </w:drawing>
      </w:r>
      <w:r>
        <w:rPr>
          <w:noProof/>
        </w:rPr>
        <w:drawing>
          <wp:inline distT="0" distB="0" distL="0" distR="0" wp14:anchorId="09AD971E" wp14:editId="638B044E">
            <wp:extent cx="2981325" cy="2168149"/>
            <wp:effectExtent l="0" t="0" r="0" b="3810"/>
            <wp:docPr id="192" name="Picture 19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26"/>
                    <a:stretch>
                      <a:fillRect/>
                    </a:stretch>
                  </pic:blipFill>
                  <pic:spPr>
                    <a:xfrm>
                      <a:off x="0" y="0"/>
                      <a:ext cx="2994859" cy="2177991"/>
                    </a:xfrm>
                    <a:prstGeom prst="rect">
                      <a:avLst/>
                    </a:prstGeom>
                  </pic:spPr>
                </pic:pic>
              </a:graphicData>
            </a:graphic>
          </wp:inline>
        </w:drawing>
      </w:r>
    </w:p>
    <w:p w14:paraId="12B6390F" w14:textId="77777777" w:rsidR="00315077" w:rsidRDefault="00315077" w:rsidP="00315077">
      <w:pPr>
        <w:spacing w:after="160"/>
      </w:pPr>
      <w:r w:rsidRPr="003E4B63">
        <w:br w:type="page"/>
      </w:r>
    </w:p>
    <w:p w14:paraId="73B7A839" w14:textId="1A757870" w:rsidR="00315077" w:rsidRPr="00127C2E" w:rsidRDefault="00315077" w:rsidP="00315077">
      <w:pPr>
        <w:spacing w:after="160" w:line="259" w:lineRule="auto"/>
        <w:jc w:val="center"/>
        <w:rPr>
          <w:b/>
        </w:rPr>
      </w:pPr>
      <w:r w:rsidRPr="00127C2E">
        <w:rPr>
          <w:b/>
        </w:rPr>
        <w:lastRenderedPageBreak/>
        <w:t xml:space="preserve">Table A9 Robustness Check: Alternative </w:t>
      </w:r>
      <w:r w:rsidR="00127C2E" w:rsidRPr="00127C2E">
        <w:rPr>
          <w:b/>
        </w:rPr>
        <w:t>M</w:t>
      </w:r>
      <w:r w:rsidRPr="00127C2E">
        <w:rPr>
          <w:b/>
        </w:rPr>
        <w:t xml:space="preserve">easures of </w:t>
      </w:r>
      <w:r w:rsidR="00127C2E" w:rsidRPr="00127C2E">
        <w:rPr>
          <w:b/>
        </w:rPr>
        <w:t>F</w:t>
      </w:r>
      <w:r w:rsidRPr="00127C2E">
        <w:rPr>
          <w:b/>
        </w:rPr>
        <w:t xml:space="preserve">irm </w:t>
      </w:r>
      <w:r w:rsidR="00127C2E" w:rsidRPr="00127C2E">
        <w:rPr>
          <w:b/>
        </w:rPr>
        <w:t>Pe</w:t>
      </w:r>
      <w:r w:rsidRPr="00127C2E">
        <w:rPr>
          <w:b/>
        </w:rPr>
        <w:t>rformance</w:t>
      </w:r>
    </w:p>
    <w:tbl>
      <w:tblPr>
        <w:tblW w:w="0" w:type="auto"/>
        <w:jc w:val="center"/>
        <w:tblLayout w:type="fixed"/>
        <w:tblCellMar>
          <w:left w:w="75" w:type="dxa"/>
          <w:right w:w="75" w:type="dxa"/>
        </w:tblCellMar>
        <w:tblLook w:val="0000" w:firstRow="0" w:lastRow="0" w:firstColumn="0" w:lastColumn="0" w:noHBand="0" w:noVBand="0"/>
      </w:tblPr>
      <w:tblGrid>
        <w:gridCol w:w="2250"/>
        <w:gridCol w:w="1260"/>
        <w:gridCol w:w="1216"/>
        <w:gridCol w:w="1158"/>
        <w:gridCol w:w="1159"/>
        <w:gridCol w:w="1158"/>
        <w:gridCol w:w="1159"/>
      </w:tblGrid>
      <w:tr w:rsidR="00315077" w:rsidRPr="00F25315" w14:paraId="237F1EB7" w14:textId="77777777" w:rsidTr="00315077">
        <w:trPr>
          <w:jc w:val="center"/>
        </w:trPr>
        <w:tc>
          <w:tcPr>
            <w:tcW w:w="2250" w:type="dxa"/>
            <w:tcBorders>
              <w:top w:val="single" w:sz="6" w:space="0" w:color="auto"/>
              <w:left w:val="nil"/>
              <w:bottom w:val="nil"/>
              <w:right w:val="nil"/>
            </w:tcBorders>
          </w:tcPr>
          <w:p w14:paraId="67BD8040" w14:textId="77777777" w:rsidR="00315077" w:rsidRPr="00F25315" w:rsidRDefault="00315077" w:rsidP="00315077">
            <w:pPr>
              <w:widowControl w:val="0"/>
              <w:autoSpaceDE w:val="0"/>
              <w:autoSpaceDN w:val="0"/>
              <w:adjustRightInd w:val="0"/>
              <w:rPr>
                <w:sz w:val="20"/>
                <w:szCs w:val="20"/>
              </w:rPr>
            </w:pPr>
          </w:p>
        </w:tc>
        <w:tc>
          <w:tcPr>
            <w:tcW w:w="1260" w:type="dxa"/>
            <w:tcBorders>
              <w:top w:val="single" w:sz="6" w:space="0" w:color="auto"/>
              <w:left w:val="nil"/>
              <w:bottom w:val="nil"/>
              <w:right w:val="nil"/>
            </w:tcBorders>
          </w:tcPr>
          <w:p w14:paraId="6BEE06AA"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(1)</w:t>
            </w:r>
          </w:p>
        </w:tc>
        <w:tc>
          <w:tcPr>
            <w:tcW w:w="1216" w:type="dxa"/>
            <w:tcBorders>
              <w:top w:val="single" w:sz="6" w:space="0" w:color="auto"/>
              <w:left w:val="nil"/>
              <w:bottom w:val="nil"/>
              <w:right w:val="nil"/>
            </w:tcBorders>
          </w:tcPr>
          <w:p w14:paraId="2582ABC9"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(2)</w:t>
            </w:r>
          </w:p>
        </w:tc>
        <w:tc>
          <w:tcPr>
            <w:tcW w:w="1158" w:type="dxa"/>
            <w:tcBorders>
              <w:top w:val="single" w:sz="6" w:space="0" w:color="auto"/>
              <w:left w:val="nil"/>
              <w:bottom w:val="nil"/>
              <w:right w:val="nil"/>
            </w:tcBorders>
          </w:tcPr>
          <w:p w14:paraId="2104F398"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(3)</w:t>
            </w:r>
          </w:p>
        </w:tc>
        <w:tc>
          <w:tcPr>
            <w:tcW w:w="1159" w:type="dxa"/>
            <w:tcBorders>
              <w:top w:val="single" w:sz="6" w:space="0" w:color="auto"/>
              <w:left w:val="nil"/>
              <w:bottom w:val="nil"/>
              <w:right w:val="nil"/>
            </w:tcBorders>
          </w:tcPr>
          <w:p w14:paraId="5601E330"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w:t>
            </w:r>
            <w:r>
              <w:rPr>
                <w:sz w:val="20"/>
                <w:szCs w:val="20"/>
              </w:rPr>
              <w:t>4</w:t>
            </w:r>
            <w:r w:rsidRPr="00F25315">
              <w:rPr>
                <w:sz w:val="20"/>
                <w:szCs w:val="20"/>
              </w:rPr>
              <w:t>)</w:t>
            </w:r>
          </w:p>
        </w:tc>
        <w:tc>
          <w:tcPr>
            <w:tcW w:w="1158" w:type="dxa"/>
            <w:tcBorders>
              <w:top w:val="single" w:sz="6" w:space="0" w:color="auto"/>
              <w:left w:val="nil"/>
              <w:bottom w:val="nil"/>
              <w:right w:val="nil"/>
            </w:tcBorders>
          </w:tcPr>
          <w:p w14:paraId="21758188"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w:t>
            </w:r>
            <w:r>
              <w:rPr>
                <w:sz w:val="20"/>
                <w:szCs w:val="20"/>
              </w:rPr>
              <w:t>5</w:t>
            </w:r>
            <w:r w:rsidRPr="00F25315">
              <w:rPr>
                <w:sz w:val="20"/>
                <w:szCs w:val="20"/>
              </w:rPr>
              <w:t>)</w:t>
            </w:r>
          </w:p>
        </w:tc>
        <w:tc>
          <w:tcPr>
            <w:tcW w:w="1159" w:type="dxa"/>
            <w:tcBorders>
              <w:top w:val="single" w:sz="6" w:space="0" w:color="auto"/>
              <w:left w:val="nil"/>
              <w:bottom w:val="nil"/>
              <w:right w:val="nil"/>
            </w:tcBorders>
          </w:tcPr>
          <w:p w14:paraId="33F6F0C2"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w:t>
            </w:r>
            <w:r>
              <w:rPr>
                <w:sz w:val="20"/>
                <w:szCs w:val="20"/>
              </w:rPr>
              <w:t>6</w:t>
            </w:r>
            <w:r w:rsidRPr="00F25315">
              <w:rPr>
                <w:sz w:val="20"/>
                <w:szCs w:val="20"/>
              </w:rPr>
              <w:t>)</w:t>
            </w:r>
          </w:p>
        </w:tc>
      </w:tr>
      <w:tr w:rsidR="00315077" w:rsidRPr="00F25315" w14:paraId="33A884C5" w14:textId="77777777" w:rsidTr="00315077">
        <w:trPr>
          <w:jc w:val="center"/>
        </w:trPr>
        <w:tc>
          <w:tcPr>
            <w:tcW w:w="2250" w:type="dxa"/>
            <w:tcBorders>
              <w:top w:val="nil"/>
              <w:left w:val="nil"/>
              <w:bottom w:val="single" w:sz="6" w:space="0" w:color="auto"/>
              <w:right w:val="nil"/>
            </w:tcBorders>
          </w:tcPr>
          <w:p w14:paraId="5ECA1CF5" w14:textId="77777777" w:rsidR="00315077" w:rsidRPr="00F25315" w:rsidRDefault="00315077" w:rsidP="00315077">
            <w:pPr>
              <w:widowControl w:val="0"/>
              <w:autoSpaceDE w:val="0"/>
              <w:autoSpaceDN w:val="0"/>
              <w:adjustRightInd w:val="0"/>
              <w:rPr>
                <w:sz w:val="20"/>
                <w:szCs w:val="20"/>
              </w:rPr>
            </w:pPr>
            <w:r w:rsidRPr="00F25315">
              <w:rPr>
                <w:sz w:val="20"/>
                <w:szCs w:val="20"/>
              </w:rPr>
              <w:t>VARIABLES</w:t>
            </w:r>
          </w:p>
        </w:tc>
        <w:tc>
          <w:tcPr>
            <w:tcW w:w="1260" w:type="dxa"/>
            <w:tcBorders>
              <w:top w:val="nil"/>
              <w:left w:val="nil"/>
              <w:bottom w:val="single" w:sz="6" w:space="0" w:color="auto"/>
              <w:right w:val="nil"/>
            </w:tcBorders>
          </w:tcPr>
          <w:p w14:paraId="0AC5D1FA" w14:textId="77777777" w:rsidR="00315077" w:rsidRPr="00F25315" w:rsidRDefault="00315077" w:rsidP="00315077">
            <w:pPr>
              <w:widowControl w:val="0"/>
              <w:autoSpaceDE w:val="0"/>
              <w:autoSpaceDN w:val="0"/>
              <w:adjustRightInd w:val="0"/>
              <w:jc w:val="center"/>
              <w:rPr>
                <w:sz w:val="20"/>
                <w:szCs w:val="20"/>
              </w:rPr>
            </w:pPr>
            <w:r>
              <w:rPr>
                <w:sz w:val="20"/>
                <w:szCs w:val="20"/>
              </w:rPr>
              <w:t>Power Continuation</w:t>
            </w:r>
          </w:p>
        </w:tc>
        <w:tc>
          <w:tcPr>
            <w:tcW w:w="1216" w:type="dxa"/>
            <w:tcBorders>
              <w:top w:val="nil"/>
              <w:left w:val="nil"/>
              <w:bottom w:val="single" w:sz="6" w:space="0" w:color="auto"/>
              <w:right w:val="nil"/>
            </w:tcBorders>
          </w:tcPr>
          <w:p w14:paraId="621517AB" w14:textId="77777777" w:rsidR="00315077" w:rsidRPr="00F25315" w:rsidRDefault="00315077" w:rsidP="00315077">
            <w:pPr>
              <w:widowControl w:val="0"/>
              <w:autoSpaceDE w:val="0"/>
              <w:autoSpaceDN w:val="0"/>
              <w:adjustRightInd w:val="0"/>
              <w:jc w:val="center"/>
              <w:rPr>
                <w:sz w:val="20"/>
                <w:szCs w:val="20"/>
              </w:rPr>
            </w:pPr>
            <w:r>
              <w:rPr>
                <w:sz w:val="20"/>
                <w:szCs w:val="20"/>
              </w:rPr>
              <w:t>Power Continuation</w:t>
            </w:r>
          </w:p>
        </w:tc>
        <w:tc>
          <w:tcPr>
            <w:tcW w:w="1158" w:type="dxa"/>
            <w:tcBorders>
              <w:top w:val="nil"/>
              <w:left w:val="nil"/>
              <w:bottom w:val="single" w:sz="6" w:space="0" w:color="auto"/>
              <w:right w:val="nil"/>
            </w:tcBorders>
          </w:tcPr>
          <w:p w14:paraId="5E39EFA2" w14:textId="77777777" w:rsidR="00315077" w:rsidRPr="00F25315" w:rsidRDefault="00315077" w:rsidP="00315077">
            <w:pPr>
              <w:widowControl w:val="0"/>
              <w:autoSpaceDE w:val="0"/>
              <w:autoSpaceDN w:val="0"/>
              <w:adjustRightInd w:val="0"/>
              <w:jc w:val="center"/>
              <w:rPr>
                <w:sz w:val="20"/>
                <w:szCs w:val="20"/>
              </w:rPr>
            </w:pPr>
            <w:r>
              <w:rPr>
                <w:sz w:val="20"/>
                <w:szCs w:val="20"/>
              </w:rPr>
              <w:t>Exit</w:t>
            </w:r>
          </w:p>
        </w:tc>
        <w:tc>
          <w:tcPr>
            <w:tcW w:w="1159" w:type="dxa"/>
            <w:tcBorders>
              <w:top w:val="nil"/>
              <w:left w:val="nil"/>
              <w:bottom w:val="single" w:sz="6" w:space="0" w:color="auto"/>
              <w:right w:val="nil"/>
            </w:tcBorders>
          </w:tcPr>
          <w:p w14:paraId="6FAB04FF" w14:textId="77777777" w:rsidR="00315077" w:rsidRPr="00F25315" w:rsidRDefault="00315077" w:rsidP="00315077">
            <w:pPr>
              <w:widowControl w:val="0"/>
              <w:autoSpaceDE w:val="0"/>
              <w:autoSpaceDN w:val="0"/>
              <w:adjustRightInd w:val="0"/>
              <w:jc w:val="center"/>
              <w:rPr>
                <w:sz w:val="20"/>
                <w:szCs w:val="20"/>
              </w:rPr>
            </w:pPr>
            <w:r>
              <w:rPr>
                <w:sz w:val="20"/>
                <w:szCs w:val="20"/>
              </w:rPr>
              <w:t>Gov’t</w:t>
            </w:r>
          </w:p>
        </w:tc>
        <w:tc>
          <w:tcPr>
            <w:tcW w:w="1158" w:type="dxa"/>
            <w:tcBorders>
              <w:top w:val="nil"/>
              <w:left w:val="nil"/>
              <w:bottom w:val="single" w:sz="6" w:space="0" w:color="auto"/>
              <w:right w:val="nil"/>
            </w:tcBorders>
          </w:tcPr>
          <w:p w14:paraId="0EEBA11A" w14:textId="77777777" w:rsidR="00315077" w:rsidRPr="00F25315" w:rsidRDefault="00315077" w:rsidP="00315077">
            <w:pPr>
              <w:widowControl w:val="0"/>
              <w:autoSpaceDE w:val="0"/>
              <w:autoSpaceDN w:val="0"/>
              <w:adjustRightInd w:val="0"/>
              <w:jc w:val="center"/>
              <w:rPr>
                <w:sz w:val="20"/>
                <w:szCs w:val="20"/>
              </w:rPr>
            </w:pPr>
            <w:r>
              <w:rPr>
                <w:sz w:val="20"/>
                <w:szCs w:val="20"/>
              </w:rPr>
              <w:t>Exit</w:t>
            </w:r>
          </w:p>
        </w:tc>
        <w:tc>
          <w:tcPr>
            <w:tcW w:w="1159" w:type="dxa"/>
            <w:tcBorders>
              <w:top w:val="nil"/>
              <w:left w:val="nil"/>
              <w:bottom w:val="single" w:sz="6" w:space="0" w:color="auto"/>
              <w:right w:val="nil"/>
            </w:tcBorders>
          </w:tcPr>
          <w:p w14:paraId="00901CAB" w14:textId="77777777" w:rsidR="00315077" w:rsidRPr="00F25315" w:rsidRDefault="00315077" w:rsidP="00315077">
            <w:pPr>
              <w:widowControl w:val="0"/>
              <w:autoSpaceDE w:val="0"/>
              <w:autoSpaceDN w:val="0"/>
              <w:adjustRightInd w:val="0"/>
              <w:jc w:val="center"/>
              <w:rPr>
                <w:sz w:val="20"/>
                <w:szCs w:val="20"/>
              </w:rPr>
            </w:pPr>
            <w:r>
              <w:rPr>
                <w:sz w:val="20"/>
                <w:szCs w:val="20"/>
              </w:rPr>
              <w:t>Gov’t</w:t>
            </w:r>
          </w:p>
        </w:tc>
      </w:tr>
      <w:tr w:rsidR="00315077" w:rsidRPr="00F25315" w14:paraId="33A521F4" w14:textId="77777777" w:rsidTr="00315077">
        <w:trPr>
          <w:jc w:val="center"/>
        </w:trPr>
        <w:tc>
          <w:tcPr>
            <w:tcW w:w="2250" w:type="dxa"/>
            <w:tcBorders>
              <w:top w:val="nil"/>
              <w:left w:val="nil"/>
              <w:bottom w:val="nil"/>
              <w:right w:val="nil"/>
            </w:tcBorders>
          </w:tcPr>
          <w:p w14:paraId="62FA3954" w14:textId="77777777" w:rsidR="00315077" w:rsidRPr="00F25315" w:rsidRDefault="00315077" w:rsidP="00315077">
            <w:pPr>
              <w:widowControl w:val="0"/>
              <w:autoSpaceDE w:val="0"/>
              <w:autoSpaceDN w:val="0"/>
              <w:adjustRightInd w:val="0"/>
              <w:rPr>
                <w:sz w:val="20"/>
                <w:szCs w:val="20"/>
              </w:rPr>
            </w:pPr>
          </w:p>
        </w:tc>
        <w:tc>
          <w:tcPr>
            <w:tcW w:w="1260" w:type="dxa"/>
            <w:tcBorders>
              <w:top w:val="nil"/>
              <w:left w:val="nil"/>
              <w:bottom w:val="nil"/>
              <w:right w:val="nil"/>
            </w:tcBorders>
          </w:tcPr>
          <w:p w14:paraId="347646F6" w14:textId="77777777" w:rsidR="00315077" w:rsidRPr="00F25315" w:rsidRDefault="00315077" w:rsidP="00315077">
            <w:pPr>
              <w:widowControl w:val="0"/>
              <w:autoSpaceDE w:val="0"/>
              <w:autoSpaceDN w:val="0"/>
              <w:adjustRightInd w:val="0"/>
              <w:jc w:val="center"/>
              <w:rPr>
                <w:sz w:val="20"/>
                <w:szCs w:val="20"/>
              </w:rPr>
            </w:pPr>
          </w:p>
        </w:tc>
        <w:tc>
          <w:tcPr>
            <w:tcW w:w="1216" w:type="dxa"/>
            <w:tcBorders>
              <w:top w:val="nil"/>
              <w:left w:val="nil"/>
              <w:bottom w:val="nil"/>
              <w:right w:val="nil"/>
            </w:tcBorders>
          </w:tcPr>
          <w:p w14:paraId="388D1BB1" w14:textId="77777777" w:rsidR="00315077" w:rsidRPr="00F25315" w:rsidRDefault="00315077" w:rsidP="00315077">
            <w:pPr>
              <w:widowControl w:val="0"/>
              <w:autoSpaceDE w:val="0"/>
              <w:autoSpaceDN w:val="0"/>
              <w:adjustRightInd w:val="0"/>
              <w:jc w:val="center"/>
              <w:rPr>
                <w:sz w:val="20"/>
                <w:szCs w:val="20"/>
              </w:rPr>
            </w:pPr>
          </w:p>
        </w:tc>
        <w:tc>
          <w:tcPr>
            <w:tcW w:w="1158" w:type="dxa"/>
            <w:tcBorders>
              <w:top w:val="nil"/>
              <w:left w:val="nil"/>
              <w:bottom w:val="nil"/>
              <w:right w:val="nil"/>
            </w:tcBorders>
          </w:tcPr>
          <w:p w14:paraId="186C245A" w14:textId="77777777" w:rsidR="00315077" w:rsidRPr="00F25315" w:rsidRDefault="00315077" w:rsidP="00315077">
            <w:pPr>
              <w:widowControl w:val="0"/>
              <w:autoSpaceDE w:val="0"/>
              <w:autoSpaceDN w:val="0"/>
              <w:adjustRightInd w:val="0"/>
              <w:jc w:val="center"/>
              <w:rPr>
                <w:sz w:val="20"/>
                <w:szCs w:val="20"/>
              </w:rPr>
            </w:pPr>
          </w:p>
        </w:tc>
        <w:tc>
          <w:tcPr>
            <w:tcW w:w="1159" w:type="dxa"/>
            <w:tcBorders>
              <w:top w:val="nil"/>
              <w:left w:val="nil"/>
              <w:bottom w:val="nil"/>
              <w:right w:val="nil"/>
            </w:tcBorders>
          </w:tcPr>
          <w:p w14:paraId="07BB5C60" w14:textId="77777777" w:rsidR="00315077" w:rsidRPr="00F25315" w:rsidRDefault="00315077" w:rsidP="00315077">
            <w:pPr>
              <w:widowControl w:val="0"/>
              <w:autoSpaceDE w:val="0"/>
              <w:autoSpaceDN w:val="0"/>
              <w:adjustRightInd w:val="0"/>
              <w:jc w:val="center"/>
              <w:rPr>
                <w:sz w:val="20"/>
                <w:szCs w:val="20"/>
              </w:rPr>
            </w:pPr>
          </w:p>
        </w:tc>
        <w:tc>
          <w:tcPr>
            <w:tcW w:w="1158" w:type="dxa"/>
            <w:tcBorders>
              <w:top w:val="nil"/>
              <w:left w:val="nil"/>
              <w:bottom w:val="nil"/>
              <w:right w:val="nil"/>
            </w:tcBorders>
          </w:tcPr>
          <w:p w14:paraId="39D393E2" w14:textId="77777777" w:rsidR="00315077" w:rsidRPr="00F25315" w:rsidRDefault="00315077" w:rsidP="00315077">
            <w:pPr>
              <w:widowControl w:val="0"/>
              <w:autoSpaceDE w:val="0"/>
              <w:autoSpaceDN w:val="0"/>
              <w:adjustRightInd w:val="0"/>
              <w:jc w:val="center"/>
              <w:rPr>
                <w:sz w:val="20"/>
                <w:szCs w:val="20"/>
              </w:rPr>
            </w:pPr>
          </w:p>
        </w:tc>
        <w:tc>
          <w:tcPr>
            <w:tcW w:w="1159" w:type="dxa"/>
            <w:tcBorders>
              <w:top w:val="nil"/>
              <w:left w:val="nil"/>
              <w:bottom w:val="nil"/>
              <w:right w:val="nil"/>
            </w:tcBorders>
          </w:tcPr>
          <w:p w14:paraId="04DD2A1C" w14:textId="77777777" w:rsidR="00315077" w:rsidRPr="00F25315" w:rsidRDefault="00315077" w:rsidP="00315077">
            <w:pPr>
              <w:widowControl w:val="0"/>
              <w:autoSpaceDE w:val="0"/>
              <w:autoSpaceDN w:val="0"/>
              <w:adjustRightInd w:val="0"/>
              <w:jc w:val="center"/>
              <w:rPr>
                <w:sz w:val="20"/>
                <w:szCs w:val="20"/>
              </w:rPr>
            </w:pPr>
          </w:p>
        </w:tc>
      </w:tr>
      <w:tr w:rsidR="00315077" w:rsidRPr="00F25315" w14:paraId="697E8B2F" w14:textId="77777777" w:rsidTr="00315077">
        <w:trPr>
          <w:jc w:val="center"/>
        </w:trPr>
        <w:tc>
          <w:tcPr>
            <w:tcW w:w="2250" w:type="dxa"/>
            <w:tcBorders>
              <w:top w:val="nil"/>
              <w:left w:val="nil"/>
              <w:bottom w:val="nil"/>
              <w:right w:val="nil"/>
            </w:tcBorders>
          </w:tcPr>
          <w:p w14:paraId="611466CE" w14:textId="77777777" w:rsidR="00315077" w:rsidRPr="00F25315" w:rsidRDefault="00315077" w:rsidP="00315077">
            <w:pPr>
              <w:widowControl w:val="0"/>
              <w:autoSpaceDE w:val="0"/>
              <w:autoSpaceDN w:val="0"/>
              <w:adjustRightInd w:val="0"/>
              <w:rPr>
                <w:sz w:val="20"/>
                <w:szCs w:val="20"/>
              </w:rPr>
            </w:pPr>
            <w:r w:rsidRPr="00F25315">
              <w:rPr>
                <w:sz w:val="20"/>
                <w:szCs w:val="20"/>
              </w:rPr>
              <w:t xml:space="preserve">Asset Preservation </w:t>
            </w:r>
          </w:p>
        </w:tc>
        <w:tc>
          <w:tcPr>
            <w:tcW w:w="1260" w:type="dxa"/>
            <w:tcBorders>
              <w:top w:val="nil"/>
              <w:left w:val="nil"/>
              <w:bottom w:val="nil"/>
              <w:right w:val="nil"/>
            </w:tcBorders>
          </w:tcPr>
          <w:p w14:paraId="66B8CC84"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-0.000886</w:t>
            </w:r>
          </w:p>
        </w:tc>
        <w:tc>
          <w:tcPr>
            <w:tcW w:w="1216" w:type="dxa"/>
            <w:tcBorders>
              <w:top w:val="nil"/>
              <w:left w:val="nil"/>
              <w:bottom w:val="nil"/>
              <w:right w:val="nil"/>
            </w:tcBorders>
          </w:tcPr>
          <w:p w14:paraId="5A8AE26E" w14:textId="77777777" w:rsidR="00315077" w:rsidRPr="00F25315" w:rsidRDefault="00315077" w:rsidP="00315077">
            <w:pPr>
              <w:widowControl w:val="0"/>
              <w:autoSpaceDE w:val="0"/>
              <w:autoSpaceDN w:val="0"/>
              <w:adjustRightInd w:val="0"/>
              <w:jc w:val="center"/>
              <w:rPr>
                <w:sz w:val="20"/>
                <w:szCs w:val="20"/>
              </w:rPr>
            </w:pPr>
          </w:p>
        </w:tc>
        <w:tc>
          <w:tcPr>
            <w:tcW w:w="1158" w:type="dxa"/>
            <w:tcBorders>
              <w:top w:val="nil"/>
              <w:left w:val="nil"/>
              <w:bottom w:val="nil"/>
              <w:right w:val="nil"/>
            </w:tcBorders>
          </w:tcPr>
          <w:p w14:paraId="1D1D872E"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0.00886</w:t>
            </w:r>
          </w:p>
        </w:tc>
        <w:tc>
          <w:tcPr>
            <w:tcW w:w="1159" w:type="dxa"/>
            <w:tcBorders>
              <w:top w:val="nil"/>
              <w:left w:val="nil"/>
              <w:bottom w:val="nil"/>
              <w:right w:val="nil"/>
            </w:tcBorders>
          </w:tcPr>
          <w:p w14:paraId="10D7B4CC"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-0.0484**</w:t>
            </w:r>
          </w:p>
        </w:tc>
        <w:tc>
          <w:tcPr>
            <w:tcW w:w="1158" w:type="dxa"/>
            <w:tcBorders>
              <w:top w:val="nil"/>
              <w:left w:val="nil"/>
              <w:bottom w:val="nil"/>
              <w:right w:val="nil"/>
            </w:tcBorders>
          </w:tcPr>
          <w:p w14:paraId="3E3FBBB8" w14:textId="77777777" w:rsidR="00315077" w:rsidRPr="00F25315" w:rsidRDefault="00315077" w:rsidP="00315077">
            <w:pPr>
              <w:widowControl w:val="0"/>
              <w:autoSpaceDE w:val="0"/>
              <w:autoSpaceDN w:val="0"/>
              <w:adjustRightInd w:val="0"/>
              <w:jc w:val="center"/>
              <w:rPr>
                <w:sz w:val="20"/>
                <w:szCs w:val="20"/>
              </w:rPr>
            </w:pPr>
          </w:p>
        </w:tc>
        <w:tc>
          <w:tcPr>
            <w:tcW w:w="1159" w:type="dxa"/>
            <w:tcBorders>
              <w:top w:val="nil"/>
              <w:left w:val="nil"/>
              <w:bottom w:val="nil"/>
              <w:right w:val="nil"/>
            </w:tcBorders>
          </w:tcPr>
          <w:p w14:paraId="2E1151DE" w14:textId="77777777" w:rsidR="00315077" w:rsidRPr="00F25315" w:rsidRDefault="00315077" w:rsidP="00315077">
            <w:pPr>
              <w:widowControl w:val="0"/>
              <w:autoSpaceDE w:val="0"/>
              <w:autoSpaceDN w:val="0"/>
              <w:adjustRightInd w:val="0"/>
              <w:jc w:val="center"/>
              <w:rPr>
                <w:sz w:val="20"/>
                <w:szCs w:val="20"/>
              </w:rPr>
            </w:pPr>
          </w:p>
        </w:tc>
      </w:tr>
      <w:tr w:rsidR="00315077" w:rsidRPr="00F25315" w14:paraId="28E032C7" w14:textId="77777777" w:rsidTr="00315077">
        <w:trPr>
          <w:jc w:val="center"/>
        </w:trPr>
        <w:tc>
          <w:tcPr>
            <w:tcW w:w="2250" w:type="dxa"/>
            <w:tcBorders>
              <w:top w:val="nil"/>
              <w:left w:val="nil"/>
              <w:bottom w:val="nil"/>
              <w:right w:val="nil"/>
            </w:tcBorders>
          </w:tcPr>
          <w:p w14:paraId="36AE8C9A" w14:textId="77777777" w:rsidR="00315077" w:rsidRPr="00F25315" w:rsidRDefault="00315077" w:rsidP="00315077">
            <w:pPr>
              <w:widowControl w:val="0"/>
              <w:autoSpaceDE w:val="0"/>
              <w:autoSpaceDN w:val="0"/>
              <w:adjustRightInd w:val="0"/>
              <w:rPr>
                <w:sz w:val="20"/>
                <w:szCs w:val="20"/>
              </w:rPr>
            </w:pPr>
            <w:r w:rsidRPr="00F25315">
              <w:rPr>
                <w:sz w:val="20"/>
                <w:szCs w:val="20"/>
              </w:rPr>
              <w:t>Rate (SASAC)</w:t>
            </w:r>
          </w:p>
        </w:tc>
        <w:tc>
          <w:tcPr>
            <w:tcW w:w="1260" w:type="dxa"/>
            <w:tcBorders>
              <w:top w:val="nil"/>
              <w:left w:val="nil"/>
              <w:bottom w:val="nil"/>
              <w:right w:val="nil"/>
            </w:tcBorders>
          </w:tcPr>
          <w:p w14:paraId="6154B374"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(0.00844)</w:t>
            </w:r>
          </w:p>
        </w:tc>
        <w:tc>
          <w:tcPr>
            <w:tcW w:w="1216" w:type="dxa"/>
            <w:tcBorders>
              <w:top w:val="nil"/>
              <w:left w:val="nil"/>
              <w:bottom w:val="nil"/>
              <w:right w:val="nil"/>
            </w:tcBorders>
          </w:tcPr>
          <w:p w14:paraId="09755C3C" w14:textId="77777777" w:rsidR="00315077" w:rsidRPr="00F25315" w:rsidRDefault="00315077" w:rsidP="00315077">
            <w:pPr>
              <w:widowControl w:val="0"/>
              <w:autoSpaceDE w:val="0"/>
              <w:autoSpaceDN w:val="0"/>
              <w:adjustRightInd w:val="0"/>
              <w:jc w:val="center"/>
              <w:rPr>
                <w:sz w:val="20"/>
                <w:szCs w:val="20"/>
              </w:rPr>
            </w:pPr>
          </w:p>
        </w:tc>
        <w:tc>
          <w:tcPr>
            <w:tcW w:w="1158" w:type="dxa"/>
            <w:tcBorders>
              <w:top w:val="nil"/>
              <w:left w:val="nil"/>
              <w:bottom w:val="nil"/>
              <w:right w:val="nil"/>
            </w:tcBorders>
          </w:tcPr>
          <w:p w14:paraId="76601D45"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(0.00660)</w:t>
            </w:r>
          </w:p>
        </w:tc>
        <w:tc>
          <w:tcPr>
            <w:tcW w:w="1159" w:type="dxa"/>
            <w:tcBorders>
              <w:top w:val="nil"/>
              <w:left w:val="nil"/>
              <w:bottom w:val="nil"/>
              <w:right w:val="nil"/>
            </w:tcBorders>
          </w:tcPr>
          <w:p w14:paraId="604FD81A"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(0.0215)</w:t>
            </w:r>
          </w:p>
        </w:tc>
        <w:tc>
          <w:tcPr>
            <w:tcW w:w="1158" w:type="dxa"/>
            <w:tcBorders>
              <w:top w:val="nil"/>
              <w:left w:val="nil"/>
              <w:bottom w:val="nil"/>
              <w:right w:val="nil"/>
            </w:tcBorders>
          </w:tcPr>
          <w:p w14:paraId="722236FB" w14:textId="77777777" w:rsidR="00315077" w:rsidRPr="00F25315" w:rsidRDefault="00315077" w:rsidP="00315077">
            <w:pPr>
              <w:widowControl w:val="0"/>
              <w:autoSpaceDE w:val="0"/>
              <w:autoSpaceDN w:val="0"/>
              <w:adjustRightInd w:val="0"/>
              <w:jc w:val="center"/>
              <w:rPr>
                <w:sz w:val="20"/>
                <w:szCs w:val="20"/>
              </w:rPr>
            </w:pPr>
          </w:p>
        </w:tc>
        <w:tc>
          <w:tcPr>
            <w:tcW w:w="1159" w:type="dxa"/>
            <w:tcBorders>
              <w:top w:val="nil"/>
              <w:left w:val="nil"/>
              <w:bottom w:val="nil"/>
              <w:right w:val="nil"/>
            </w:tcBorders>
          </w:tcPr>
          <w:p w14:paraId="25A43DB6" w14:textId="77777777" w:rsidR="00315077" w:rsidRPr="00F25315" w:rsidRDefault="00315077" w:rsidP="00315077">
            <w:pPr>
              <w:widowControl w:val="0"/>
              <w:autoSpaceDE w:val="0"/>
              <w:autoSpaceDN w:val="0"/>
              <w:adjustRightInd w:val="0"/>
              <w:jc w:val="center"/>
              <w:rPr>
                <w:sz w:val="20"/>
                <w:szCs w:val="20"/>
              </w:rPr>
            </w:pPr>
          </w:p>
        </w:tc>
      </w:tr>
      <w:tr w:rsidR="00315077" w:rsidRPr="00F25315" w14:paraId="3D6D8A38" w14:textId="77777777" w:rsidTr="00315077">
        <w:trPr>
          <w:jc w:val="center"/>
        </w:trPr>
        <w:tc>
          <w:tcPr>
            <w:tcW w:w="2250" w:type="dxa"/>
            <w:tcBorders>
              <w:top w:val="nil"/>
              <w:left w:val="nil"/>
              <w:bottom w:val="nil"/>
              <w:right w:val="nil"/>
            </w:tcBorders>
          </w:tcPr>
          <w:p w14:paraId="3C08D6F5" w14:textId="77777777" w:rsidR="00315077" w:rsidRPr="00F25315" w:rsidRDefault="00315077" w:rsidP="00315077">
            <w:pPr>
              <w:widowControl w:val="0"/>
              <w:autoSpaceDE w:val="0"/>
              <w:autoSpaceDN w:val="0"/>
              <w:adjustRightInd w:val="0"/>
              <w:rPr>
                <w:sz w:val="20"/>
                <w:szCs w:val="20"/>
              </w:rPr>
            </w:pPr>
            <w:r w:rsidRPr="00F25315">
              <w:rPr>
                <w:sz w:val="20"/>
                <w:szCs w:val="20"/>
              </w:rPr>
              <w:t>Income (SASAC)</w:t>
            </w:r>
          </w:p>
        </w:tc>
        <w:tc>
          <w:tcPr>
            <w:tcW w:w="1260" w:type="dxa"/>
            <w:tcBorders>
              <w:top w:val="nil"/>
              <w:left w:val="nil"/>
              <w:bottom w:val="nil"/>
              <w:right w:val="nil"/>
            </w:tcBorders>
          </w:tcPr>
          <w:p w14:paraId="3A2B469A" w14:textId="77777777" w:rsidR="00315077" w:rsidRPr="00F25315" w:rsidRDefault="00315077" w:rsidP="00315077">
            <w:pPr>
              <w:widowControl w:val="0"/>
              <w:autoSpaceDE w:val="0"/>
              <w:autoSpaceDN w:val="0"/>
              <w:adjustRightInd w:val="0"/>
              <w:jc w:val="center"/>
              <w:rPr>
                <w:sz w:val="20"/>
                <w:szCs w:val="20"/>
              </w:rPr>
            </w:pPr>
          </w:p>
        </w:tc>
        <w:tc>
          <w:tcPr>
            <w:tcW w:w="1216" w:type="dxa"/>
            <w:tcBorders>
              <w:top w:val="nil"/>
              <w:left w:val="nil"/>
              <w:bottom w:val="nil"/>
              <w:right w:val="nil"/>
            </w:tcBorders>
          </w:tcPr>
          <w:p w14:paraId="2940545E"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1.09e-05</w:t>
            </w:r>
          </w:p>
        </w:tc>
        <w:tc>
          <w:tcPr>
            <w:tcW w:w="1158" w:type="dxa"/>
            <w:tcBorders>
              <w:top w:val="nil"/>
              <w:left w:val="nil"/>
              <w:bottom w:val="nil"/>
              <w:right w:val="nil"/>
            </w:tcBorders>
          </w:tcPr>
          <w:p w14:paraId="23F16C7F" w14:textId="77777777" w:rsidR="00315077" w:rsidRPr="00F25315" w:rsidRDefault="00315077" w:rsidP="00315077">
            <w:pPr>
              <w:widowControl w:val="0"/>
              <w:autoSpaceDE w:val="0"/>
              <w:autoSpaceDN w:val="0"/>
              <w:adjustRightInd w:val="0"/>
              <w:jc w:val="center"/>
              <w:rPr>
                <w:sz w:val="20"/>
                <w:szCs w:val="20"/>
              </w:rPr>
            </w:pPr>
          </w:p>
        </w:tc>
        <w:tc>
          <w:tcPr>
            <w:tcW w:w="1159" w:type="dxa"/>
            <w:tcBorders>
              <w:top w:val="nil"/>
              <w:left w:val="nil"/>
              <w:bottom w:val="nil"/>
              <w:right w:val="nil"/>
            </w:tcBorders>
          </w:tcPr>
          <w:p w14:paraId="7FDC0F83" w14:textId="77777777" w:rsidR="00315077" w:rsidRPr="00F25315" w:rsidRDefault="00315077" w:rsidP="00315077">
            <w:pPr>
              <w:widowControl w:val="0"/>
              <w:autoSpaceDE w:val="0"/>
              <w:autoSpaceDN w:val="0"/>
              <w:adjustRightInd w:val="0"/>
              <w:jc w:val="center"/>
              <w:rPr>
                <w:sz w:val="20"/>
                <w:szCs w:val="20"/>
              </w:rPr>
            </w:pPr>
          </w:p>
        </w:tc>
        <w:tc>
          <w:tcPr>
            <w:tcW w:w="1158" w:type="dxa"/>
            <w:tcBorders>
              <w:top w:val="nil"/>
              <w:left w:val="nil"/>
              <w:bottom w:val="nil"/>
              <w:right w:val="nil"/>
            </w:tcBorders>
          </w:tcPr>
          <w:p w14:paraId="384C0A74"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-1.77e-07</w:t>
            </w:r>
          </w:p>
        </w:tc>
        <w:tc>
          <w:tcPr>
            <w:tcW w:w="1159" w:type="dxa"/>
            <w:tcBorders>
              <w:top w:val="nil"/>
              <w:left w:val="nil"/>
              <w:bottom w:val="nil"/>
              <w:right w:val="nil"/>
            </w:tcBorders>
          </w:tcPr>
          <w:p w14:paraId="5839D357"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-3.81e-07*</w:t>
            </w:r>
          </w:p>
        </w:tc>
      </w:tr>
      <w:tr w:rsidR="00315077" w:rsidRPr="00F25315" w14:paraId="1190BEC5" w14:textId="77777777" w:rsidTr="00315077">
        <w:trPr>
          <w:jc w:val="center"/>
        </w:trPr>
        <w:tc>
          <w:tcPr>
            <w:tcW w:w="2250" w:type="dxa"/>
            <w:tcBorders>
              <w:top w:val="nil"/>
              <w:left w:val="nil"/>
              <w:bottom w:val="nil"/>
              <w:right w:val="nil"/>
            </w:tcBorders>
          </w:tcPr>
          <w:p w14:paraId="2E5C697A" w14:textId="77777777" w:rsidR="00315077" w:rsidRPr="00F25315" w:rsidRDefault="00315077" w:rsidP="00315077">
            <w:pPr>
              <w:widowControl w:val="0"/>
              <w:autoSpaceDE w:val="0"/>
              <w:autoSpaceDN w:val="0"/>
              <w:adjustRightInd w:val="0"/>
              <w:rPr>
                <w:sz w:val="20"/>
                <w:szCs w:val="20"/>
              </w:rPr>
            </w:pPr>
          </w:p>
        </w:tc>
        <w:tc>
          <w:tcPr>
            <w:tcW w:w="1260" w:type="dxa"/>
            <w:tcBorders>
              <w:top w:val="nil"/>
              <w:left w:val="nil"/>
              <w:bottom w:val="nil"/>
              <w:right w:val="nil"/>
            </w:tcBorders>
          </w:tcPr>
          <w:p w14:paraId="2A472CB6" w14:textId="77777777" w:rsidR="00315077" w:rsidRPr="00F25315" w:rsidRDefault="00315077" w:rsidP="00315077">
            <w:pPr>
              <w:widowControl w:val="0"/>
              <w:autoSpaceDE w:val="0"/>
              <w:autoSpaceDN w:val="0"/>
              <w:adjustRightInd w:val="0"/>
              <w:jc w:val="center"/>
              <w:rPr>
                <w:sz w:val="20"/>
                <w:szCs w:val="20"/>
              </w:rPr>
            </w:pPr>
          </w:p>
        </w:tc>
        <w:tc>
          <w:tcPr>
            <w:tcW w:w="1216" w:type="dxa"/>
            <w:tcBorders>
              <w:top w:val="nil"/>
              <w:left w:val="nil"/>
              <w:bottom w:val="nil"/>
              <w:right w:val="nil"/>
            </w:tcBorders>
          </w:tcPr>
          <w:p w14:paraId="078B0F39"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(5.37e-05)</w:t>
            </w:r>
          </w:p>
        </w:tc>
        <w:tc>
          <w:tcPr>
            <w:tcW w:w="1158" w:type="dxa"/>
            <w:tcBorders>
              <w:top w:val="nil"/>
              <w:left w:val="nil"/>
              <w:bottom w:val="nil"/>
              <w:right w:val="nil"/>
            </w:tcBorders>
          </w:tcPr>
          <w:p w14:paraId="7CD3ADA8" w14:textId="77777777" w:rsidR="00315077" w:rsidRPr="00F25315" w:rsidRDefault="00315077" w:rsidP="00315077">
            <w:pPr>
              <w:widowControl w:val="0"/>
              <w:autoSpaceDE w:val="0"/>
              <w:autoSpaceDN w:val="0"/>
              <w:adjustRightInd w:val="0"/>
              <w:jc w:val="center"/>
              <w:rPr>
                <w:sz w:val="20"/>
                <w:szCs w:val="20"/>
              </w:rPr>
            </w:pPr>
          </w:p>
        </w:tc>
        <w:tc>
          <w:tcPr>
            <w:tcW w:w="1159" w:type="dxa"/>
            <w:tcBorders>
              <w:top w:val="nil"/>
              <w:left w:val="nil"/>
              <w:bottom w:val="nil"/>
              <w:right w:val="nil"/>
            </w:tcBorders>
          </w:tcPr>
          <w:p w14:paraId="5FBA0FD3" w14:textId="77777777" w:rsidR="00315077" w:rsidRPr="00F25315" w:rsidRDefault="00315077" w:rsidP="00315077">
            <w:pPr>
              <w:widowControl w:val="0"/>
              <w:autoSpaceDE w:val="0"/>
              <w:autoSpaceDN w:val="0"/>
              <w:adjustRightInd w:val="0"/>
              <w:jc w:val="center"/>
              <w:rPr>
                <w:sz w:val="20"/>
                <w:szCs w:val="20"/>
              </w:rPr>
            </w:pPr>
          </w:p>
        </w:tc>
        <w:tc>
          <w:tcPr>
            <w:tcW w:w="1158" w:type="dxa"/>
            <w:tcBorders>
              <w:top w:val="nil"/>
              <w:left w:val="nil"/>
              <w:bottom w:val="nil"/>
              <w:right w:val="nil"/>
            </w:tcBorders>
          </w:tcPr>
          <w:p w14:paraId="7FFDECFD"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(1.19e-07)</w:t>
            </w:r>
          </w:p>
        </w:tc>
        <w:tc>
          <w:tcPr>
            <w:tcW w:w="1159" w:type="dxa"/>
            <w:tcBorders>
              <w:top w:val="nil"/>
              <w:left w:val="nil"/>
              <w:bottom w:val="nil"/>
              <w:right w:val="nil"/>
            </w:tcBorders>
          </w:tcPr>
          <w:p w14:paraId="4B798FDC"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(2.18e-07)</w:t>
            </w:r>
          </w:p>
        </w:tc>
      </w:tr>
      <w:tr w:rsidR="00315077" w:rsidRPr="00F25315" w14:paraId="504A3DE2" w14:textId="77777777" w:rsidTr="00315077">
        <w:trPr>
          <w:jc w:val="center"/>
        </w:trPr>
        <w:tc>
          <w:tcPr>
            <w:tcW w:w="2250" w:type="dxa"/>
            <w:tcBorders>
              <w:top w:val="nil"/>
              <w:left w:val="nil"/>
              <w:bottom w:val="nil"/>
              <w:right w:val="nil"/>
            </w:tcBorders>
          </w:tcPr>
          <w:p w14:paraId="78F348DB" w14:textId="77777777" w:rsidR="00315077" w:rsidRPr="00F25315" w:rsidRDefault="00315077" w:rsidP="00315077">
            <w:pPr>
              <w:widowControl w:val="0"/>
              <w:autoSpaceDE w:val="0"/>
              <w:autoSpaceDN w:val="0"/>
              <w:adjustRightInd w:val="0"/>
              <w:rPr>
                <w:sz w:val="20"/>
                <w:szCs w:val="20"/>
              </w:rPr>
            </w:pPr>
            <w:r w:rsidRPr="00F25315">
              <w:rPr>
                <w:sz w:val="20"/>
                <w:szCs w:val="20"/>
              </w:rPr>
              <w:t>ROA</w:t>
            </w:r>
          </w:p>
        </w:tc>
        <w:tc>
          <w:tcPr>
            <w:tcW w:w="1260" w:type="dxa"/>
            <w:tcBorders>
              <w:top w:val="nil"/>
              <w:left w:val="nil"/>
              <w:bottom w:val="nil"/>
              <w:right w:val="nil"/>
            </w:tcBorders>
          </w:tcPr>
          <w:p w14:paraId="283EE9BA"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0.755**</w:t>
            </w:r>
          </w:p>
        </w:tc>
        <w:tc>
          <w:tcPr>
            <w:tcW w:w="1216" w:type="dxa"/>
            <w:tcBorders>
              <w:top w:val="nil"/>
              <w:left w:val="nil"/>
              <w:bottom w:val="nil"/>
              <w:right w:val="nil"/>
            </w:tcBorders>
          </w:tcPr>
          <w:p w14:paraId="10995B44"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0.495</w:t>
            </w:r>
          </w:p>
        </w:tc>
        <w:tc>
          <w:tcPr>
            <w:tcW w:w="1158" w:type="dxa"/>
            <w:tcBorders>
              <w:top w:val="nil"/>
              <w:left w:val="nil"/>
              <w:bottom w:val="nil"/>
              <w:right w:val="nil"/>
            </w:tcBorders>
          </w:tcPr>
          <w:p w14:paraId="664EF93F"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-0.484</w:t>
            </w:r>
          </w:p>
        </w:tc>
        <w:tc>
          <w:tcPr>
            <w:tcW w:w="1159" w:type="dxa"/>
            <w:tcBorders>
              <w:top w:val="nil"/>
              <w:left w:val="nil"/>
              <w:bottom w:val="nil"/>
              <w:right w:val="nil"/>
            </w:tcBorders>
          </w:tcPr>
          <w:p w14:paraId="7EBCD2E7"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-0.0617</w:t>
            </w:r>
          </w:p>
        </w:tc>
        <w:tc>
          <w:tcPr>
            <w:tcW w:w="1158" w:type="dxa"/>
            <w:tcBorders>
              <w:top w:val="nil"/>
              <w:left w:val="nil"/>
              <w:bottom w:val="nil"/>
              <w:right w:val="nil"/>
            </w:tcBorders>
          </w:tcPr>
          <w:p w14:paraId="2CF3F323"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-0.380</w:t>
            </w:r>
          </w:p>
        </w:tc>
        <w:tc>
          <w:tcPr>
            <w:tcW w:w="1159" w:type="dxa"/>
            <w:tcBorders>
              <w:top w:val="nil"/>
              <w:left w:val="nil"/>
              <w:bottom w:val="nil"/>
              <w:right w:val="nil"/>
            </w:tcBorders>
          </w:tcPr>
          <w:p w14:paraId="25C34C13"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0.149</w:t>
            </w:r>
          </w:p>
        </w:tc>
      </w:tr>
      <w:tr w:rsidR="00315077" w:rsidRPr="00F25315" w14:paraId="179EA168" w14:textId="77777777" w:rsidTr="00315077">
        <w:trPr>
          <w:jc w:val="center"/>
        </w:trPr>
        <w:tc>
          <w:tcPr>
            <w:tcW w:w="2250" w:type="dxa"/>
            <w:tcBorders>
              <w:top w:val="nil"/>
              <w:left w:val="nil"/>
              <w:bottom w:val="nil"/>
              <w:right w:val="nil"/>
            </w:tcBorders>
          </w:tcPr>
          <w:p w14:paraId="4B34DDCB" w14:textId="77777777" w:rsidR="00315077" w:rsidRPr="00F25315" w:rsidRDefault="00315077" w:rsidP="00315077">
            <w:pPr>
              <w:widowControl w:val="0"/>
              <w:autoSpaceDE w:val="0"/>
              <w:autoSpaceDN w:val="0"/>
              <w:adjustRightInd w:val="0"/>
              <w:rPr>
                <w:sz w:val="20"/>
                <w:szCs w:val="20"/>
              </w:rPr>
            </w:pPr>
          </w:p>
        </w:tc>
        <w:tc>
          <w:tcPr>
            <w:tcW w:w="1260" w:type="dxa"/>
            <w:tcBorders>
              <w:top w:val="nil"/>
              <w:left w:val="nil"/>
              <w:bottom w:val="nil"/>
              <w:right w:val="nil"/>
            </w:tcBorders>
          </w:tcPr>
          <w:p w14:paraId="462D94A7"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(0.362)</w:t>
            </w:r>
          </w:p>
        </w:tc>
        <w:tc>
          <w:tcPr>
            <w:tcW w:w="1216" w:type="dxa"/>
            <w:tcBorders>
              <w:top w:val="nil"/>
              <w:left w:val="nil"/>
              <w:bottom w:val="nil"/>
              <w:right w:val="nil"/>
            </w:tcBorders>
          </w:tcPr>
          <w:p w14:paraId="5DACB7B0"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(0.304)</w:t>
            </w:r>
          </w:p>
        </w:tc>
        <w:tc>
          <w:tcPr>
            <w:tcW w:w="1158" w:type="dxa"/>
            <w:tcBorders>
              <w:top w:val="nil"/>
              <w:left w:val="nil"/>
              <w:bottom w:val="nil"/>
              <w:right w:val="nil"/>
            </w:tcBorders>
          </w:tcPr>
          <w:p w14:paraId="460FBFCA"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(0.653)</w:t>
            </w:r>
          </w:p>
        </w:tc>
        <w:tc>
          <w:tcPr>
            <w:tcW w:w="1159" w:type="dxa"/>
            <w:tcBorders>
              <w:top w:val="nil"/>
              <w:left w:val="nil"/>
              <w:bottom w:val="nil"/>
              <w:right w:val="nil"/>
            </w:tcBorders>
          </w:tcPr>
          <w:p w14:paraId="653D94F4"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(0.681)</w:t>
            </w:r>
          </w:p>
        </w:tc>
        <w:tc>
          <w:tcPr>
            <w:tcW w:w="1158" w:type="dxa"/>
            <w:tcBorders>
              <w:top w:val="nil"/>
              <w:left w:val="nil"/>
              <w:bottom w:val="nil"/>
              <w:right w:val="nil"/>
            </w:tcBorders>
          </w:tcPr>
          <w:p w14:paraId="0688360D"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(0.410)</w:t>
            </w:r>
          </w:p>
        </w:tc>
        <w:tc>
          <w:tcPr>
            <w:tcW w:w="1159" w:type="dxa"/>
            <w:tcBorders>
              <w:top w:val="nil"/>
              <w:left w:val="nil"/>
              <w:bottom w:val="nil"/>
              <w:right w:val="nil"/>
            </w:tcBorders>
          </w:tcPr>
          <w:p w14:paraId="328E494B"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(0.610)</w:t>
            </w:r>
          </w:p>
        </w:tc>
      </w:tr>
      <w:tr w:rsidR="00315077" w:rsidRPr="00F25315" w14:paraId="528AF125" w14:textId="77777777" w:rsidTr="00315077">
        <w:trPr>
          <w:jc w:val="center"/>
        </w:trPr>
        <w:tc>
          <w:tcPr>
            <w:tcW w:w="2250" w:type="dxa"/>
            <w:tcBorders>
              <w:top w:val="nil"/>
              <w:left w:val="nil"/>
              <w:bottom w:val="nil"/>
              <w:right w:val="nil"/>
            </w:tcBorders>
          </w:tcPr>
          <w:p w14:paraId="3BA2E07C" w14:textId="77777777" w:rsidR="00315077" w:rsidRPr="00F25315" w:rsidRDefault="00315077" w:rsidP="00315077">
            <w:pPr>
              <w:widowControl w:val="0"/>
              <w:autoSpaceDE w:val="0"/>
              <w:autoSpaceDN w:val="0"/>
              <w:adjustRightInd w:val="0"/>
              <w:rPr>
                <w:sz w:val="20"/>
                <w:szCs w:val="20"/>
              </w:rPr>
            </w:pPr>
          </w:p>
        </w:tc>
        <w:tc>
          <w:tcPr>
            <w:tcW w:w="1260" w:type="dxa"/>
            <w:tcBorders>
              <w:top w:val="nil"/>
              <w:left w:val="nil"/>
              <w:bottom w:val="nil"/>
              <w:right w:val="nil"/>
            </w:tcBorders>
          </w:tcPr>
          <w:p w14:paraId="728AB662" w14:textId="77777777" w:rsidR="00315077" w:rsidRPr="00F25315" w:rsidRDefault="00315077" w:rsidP="00315077">
            <w:pPr>
              <w:widowControl w:val="0"/>
              <w:autoSpaceDE w:val="0"/>
              <w:autoSpaceDN w:val="0"/>
              <w:adjustRightInd w:val="0"/>
              <w:jc w:val="center"/>
              <w:rPr>
                <w:sz w:val="20"/>
                <w:szCs w:val="20"/>
              </w:rPr>
            </w:pPr>
          </w:p>
        </w:tc>
        <w:tc>
          <w:tcPr>
            <w:tcW w:w="1216" w:type="dxa"/>
            <w:tcBorders>
              <w:top w:val="nil"/>
              <w:left w:val="nil"/>
              <w:bottom w:val="nil"/>
              <w:right w:val="nil"/>
            </w:tcBorders>
          </w:tcPr>
          <w:p w14:paraId="4E83B66D" w14:textId="77777777" w:rsidR="00315077" w:rsidRPr="00F25315" w:rsidRDefault="00315077" w:rsidP="00315077">
            <w:pPr>
              <w:widowControl w:val="0"/>
              <w:autoSpaceDE w:val="0"/>
              <w:autoSpaceDN w:val="0"/>
              <w:adjustRightInd w:val="0"/>
              <w:jc w:val="center"/>
              <w:rPr>
                <w:sz w:val="20"/>
                <w:szCs w:val="20"/>
              </w:rPr>
            </w:pPr>
          </w:p>
        </w:tc>
        <w:tc>
          <w:tcPr>
            <w:tcW w:w="1158" w:type="dxa"/>
            <w:tcBorders>
              <w:top w:val="nil"/>
              <w:left w:val="nil"/>
              <w:bottom w:val="nil"/>
              <w:right w:val="nil"/>
            </w:tcBorders>
          </w:tcPr>
          <w:p w14:paraId="2DFA51EF" w14:textId="77777777" w:rsidR="00315077" w:rsidRPr="00F25315" w:rsidRDefault="00315077" w:rsidP="00315077">
            <w:pPr>
              <w:widowControl w:val="0"/>
              <w:autoSpaceDE w:val="0"/>
              <w:autoSpaceDN w:val="0"/>
              <w:adjustRightInd w:val="0"/>
              <w:jc w:val="center"/>
              <w:rPr>
                <w:sz w:val="20"/>
                <w:szCs w:val="20"/>
              </w:rPr>
            </w:pPr>
          </w:p>
        </w:tc>
        <w:tc>
          <w:tcPr>
            <w:tcW w:w="1159" w:type="dxa"/>
            <w:tcBorders>
              <w:top w:val="nil"/>
              <w:left w:val="nil"/>
              <w:bottom w:val="nil"/>
              <w:right w:val="nil"/>
            </w:tcBorders>
          </w:tcPr>
          <w:p w14:paraId="77260B99" w14:textId="77777777" w:rsidR="00315077" w:rsidRPr="00F25315" w:rsidRDefault="00315077" w:rsidP="00315077">
            <w:pPr>
              <w:widowControl w:val="0"/>
              <w:autoSpaceDE w:val="0"/>
              <w:autoSpaceDN w:val="0"/>
              <w:adjustRightInd w:val="0"/>
              <w:jc w:val="center"/>
              <w:rPr>
                <w:sz w:val="20"/>
                <w:szCs w:val="20"/>
              </w:rPr>
            </w:pPr>
          </w:p>
        </w:tc>
        <w:tc>
          <w:tcPr>
            <w:tcW w:w="1158" w:type="dxa"/>
            <w:tcBorders>
              <w:top w:val="nil"/>
              <w:left w:val="nil"/>
              <w:bottom w:val="nil"/>
              <w:right w:val="nil"/>
            </w:tcBorders>
          </w:tcPr>
          <w:p w14:paraId="0997DB41" w14:textId="77777777" w:rsidR="00315077" w:rsidRPr="00F25315" w:rsidRDefault="00315077" w:rsidP="00315077">
            <w:pPr>
              <w:widowControl w:val="0"/>
              <w:autoSpaceDE w:val="0"/>
              <w:autoSpaceDN w:val="0"/>
              <w:adjustRightInd w:val="0"/>
              <w:jc w:val="center"/>
              <w:rPr>
                <w:sz w:val="20"/>
                <w:szCs w:val="20"/>
              </w:rPr>
            </w:pPr>
          </w:p>
        </w:tc>
        <w:tc>
          <w:tcPr>
            <w:tcW w:w="1159" w:type="dxa"/>
            <w:tcBorders>
              <w:top w:val="nil"/>
              <w:left w:val="nil"/>
              <w:bottom w:val="nil"/>
              <w:right w:val="nil"/>
            </w:tcBorders>
          </w:tcPr>
          <w:p w14:paraId="21C30B08" w14:textId="77777777" w:rsidR="00315077" w:rsidRPr="00F25315" w:rsidRDefault="00315077" w:rsidP="00315077">
            <w:pPr>
              <w:widowControl w:val="0"/>
              <w:autoSpaceDE w:val="0"/>
              <w:autoSpaceDN w:val="0"/>
              <w:adjustRightInd w:val="0"/>
              <w:jc w:val="center"/>
              <w:rPr>
                <w:sz w:val="20"/>
                <w:szCs w:val="20"/>
              </w:rPr>
            </w:pPr>
          </w:p>
        </w:tc>
      </w:tr>
      <w:tr w:rsidR="00315077" w:rsidRPr="00F25315" w14:paraId="1700650F" w14:textId="77777777" w:rsidTr="00315077">
        <w:trPr>
          <w:jc w:val="center"/>
        </w:trPr>
        <w:tc>
          <w:tcPr>
            <w:tcW w:w="2250" w:type="dxa"/>
            <w:tcBorders>
              <w:top w:val="nil"/>
              <w:left w:val="nil"/>
              <w:bottom w:val="nil"/>
              <w:right w:val="nil"/>
            </w:tcBorders>
          </w:tcPr>
          <w:p w14:paraId="3751FDF8" w14:textId="77777777" w:rsidR="00315077" w:rsidRPr="00F25315" w:rsidRDefault="00315077" w:rsidP="00315077">
            <w:pPr>
              <w:widowControl w:val="0"/>
              <w:autoSpaceDE w:val="0"/>
              <w:autoSpaceDN w:val="0"/>
              <w:adjustRightInd w:val="0"/>
              <w:rPr>
                <w:sz w:val="20"/>
                <w:szCs w:val="20"/>
              </w:rPr>
            </w:pPr>
            <w:r w:rsidRPr="00F25315">
              <w:rPr>
                <w:sz w:val="20"/>
                <w:szCs w:val="20"/>
              </w:rPr>
              <w:t>Observations</w:t>
            </w:r>
          </w:p>
        </w:tc>
        <w:tc>
          <w:tcPr>
            <w:tcW w:w="1260" w:type="dxa"/>
            <w:tcBorders>
              <w:top w:val="nil"/>
              <w:left w:val="nil"/>
              <w:bottom w:val="nil"/>
              <w:right w:val="nil"/>
            </w:tcBorders>
          </w:tcPr>
          <w:p w14:paraId="5F88F1A7"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515</w:t>
            </w:r>
          </w:p>
        </w:tc>
        <w:tc>
          <w:tcPr>
            <w:tcW w:w="1216" w:type="dxa"/>
            <w:tcBorders>
              <w:top w:val="nil"/>
              <w:left w:val="nil"/>
              <w:bottom w:val="nil"/>
              <w:right w:val="nil"/>
            </w:tcBorders>
          </w:tcPr>
          <w:p w14:paraId="23AB765A"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604</w:t>
            </w:r>
          </w:p>
        </w:tc>
        <w:tc>
          <w:tcPr>
            <w:tcW w:w="1158" w:type="dxa"/>
            <w:tcBorders>
              <w:top w:val="nil"/>
              <w:left w:val="nil"/>
              <w:bottom w:val="nil"/>
              <w:right w:val="nil"/>
            </w:tcBorders>
          </w:tcPr>
          <w:p w14:paraId="03E816A4"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538</w:t>
            </w:r>
          </w:p>
        </w:tc>
        <w:tc>
          <w:tcPr>
            <w:tcW w:w="1159" w:type="dxa"/>
            <w:tcBorders>
              <w:top w:val="nil"/>
              <w:left w:val="nil"/>
              <w:bottom w:val="nil"/>
              <w:right w:val="nil"/>
            </w:tcBorders>
          </w:tcPr>
          <w:p w14:paraId="79B9510A"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538</w:t>
            </w:r>
          </w:p>
        </w:tc>
        <w:tc>
          <w:tcPr>
            <w:tcW w:w="1158" w:type="dxa"/>
            <w:tcBorders>
              <w:top w:val="nil"/>
              <w:left w:val="nil"/>
              <w:bottom w:val="nil"/>
              <w:right w:val="nil"/>
            </w:tcBorders>
          </w:tcPr>
          <w:p w14:paraId="5566E711"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633</w:t>
            </w:r>
          </w:p>
        </w:tc>
        <w:tc>
          <w:tcPr>
            <w:tcW w:w="1159" w:type="dxa"/>
            <w:tcBorders>
              <w:top w:val="nil"/>
              <w:left w:val="nil"/>
              <w:bottom w:val="nil"/>
              <w:right w:val="nil"/>
            </w:tcBorders>
          </w:tcPr>
          <w:p w14:paraId="67BB4985"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633</w:t>
            </w:r>
          </w:p>
        </w:tc>
      </w:tr>
      <w:tr w:rsidR="00315077" w:rsidRPr="00F25315" w14:paraId="2CFF642A" w14:textId="77777777" w:rsidTr="00315077">
        <w:trPr>
          <w:jc w:val="center"/>
        </w:trPr>
        <w:tc>
          <w:tcPr>
            <w:tcW w:w="2250" w:type="dxa"/>
            <w:tcBorders>
              <w:top w:val="nil"/>
              <w:left w:val="nil"/>
              <w:bottom w:val="nil"/>
              <w:right w:val="nil"/>
            </w:tcBorders>
          </w:tcPr>
          <w:p w14:paraId="0531BFF4" w14:textId="77777777" w:rsidR="00315077" w:rsidRPr="00F25315" w:rsidRDefault="00315077" w:rsidP="00315077">
            <w:pPr>
              <w:widowControl w:val="0"/>
              <w:autoSpaceDE w:val="0"/>
              <w:autoSpaceDN w:val="0"/>
              <w:adjustRightInd w:val="0"/>
              <w:rPr>
                <w:sz w:val="20"/>
                <w:szCs w:val="20"/>
              </w:rPr>
            </w:pPr>
            <w:r w:rsidRPr="00F25315">
              <w:rPr>
                <w:sz w:val="20"/>
                <w:szCs w:val="20"/>
              </w:rPr>
              <w:t>Industry FE</w:t>
            </w:r>
          </w:p>
        </w:tc>
        <w:tc>
          <w:tcPr>
            <w:tcW w:w="1260" w:type="dxa"/>
            <w:tcBorders>
              <w:top w:val="nil"/>
              <w:left w:val="nil"/>
              <w:bottom w:val="nil"/>
              <w:right w:val="nil"/>
            </w:tcBorders>
          </w:tcPr>
          <w:p w14:paraId="609D9C66"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Yes</w:t>
            </w:r>
          </w:p>
        </w:tc>
        <w:tc>
          <w:tcPr>
            <w:tcW w:w="1216" w:type="dxa"/>
            <w:tcBorders>
              <w:top w:val="nil"/>
              <w:left w:val="nil"/>
              <w:bottom w:val="nil"/>
              <w:right w:val="nil"/>
            </w:tcBorders>
          </w:tcPr>
          <w:p w14:paraId="1985EE11"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Yes</w:t>
            </w:r>
          </w:p>
        </w:tc>
        <w:tc>
          <w:tcPr>
            <w:tcW w:w="1158" w:type="dxa"/>
            <w:tcBorders>
              <w:top w:val="nil"/>
              <w:left w:val="nil"/>
              <w:bottom w:val="nil"/>
              <w:right w:val="nil"/>
            </w:tcBorders>
          </w:tcPr>
          <w:p w14:paraId="420AC310"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Yes</w:t>
            </w:r>
          </w:p>
        </w:tc>
        <w:tc>
          <w:tcPr>
            <w:tcW w:w="1159" w:type="dxa"/>
            <w:tcBorders>
              <w:top w:val="nil"/>
              <w:left w:val="nil"/>
              <w:bottom w:val="nil"/>
              <w:right w:val="nil"/>
            </w:tcBorders>
          </w:tcPr>
          <w:p w14:paraId="31EA2231"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Yes</w:t>
            </w:r>
          </w:p>
        </w:tc>
        <w:tc>
          <w:tcPr>
            <w:tcW w:w="1158" w:type="dxa"/>
            <w:tcBorders>
              <w:top w:val="nil"/>
              <w:left w:val="nil"/>
              <w:bottom w:val="nil"/>
              <w:right w:val="nil"/>
            </w:tcBorders>
          </w:tcPr>
          <w:p w14:paraId="7E2E826C"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Yes</w:t>
            </w:r>
          </w:p>
        </w:tc>
        <w:tc>
          <w:tcPr>
            <w:tcW w:w="1159" w:type="dxa"/>
            <w:tcBorders>
              <w:top w:val="nil"/>
              <w:left w:val="nil"/>
              <w:bottom w:val="nil"/>
              <w:right w:val="nil"/>
            </w:tcBorders>
          </w:tcPr>
          <w:p w14:paraId="594E5428"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Yes</w:t>
            </w:r>
          </w:p>
        </w:tc>
      </w:tr>
      <w:tr w:rsidR="00315077" w:rsidRPr="00F25315" w14:paraId="10E532EE" w14:textId="77777777" w:rsidTr="00315077">
        <w:tblPrEx>
          <w:tblBorders>
            <w:bottom w:val="single" w:sz="6" w:space="0" w:color="auto"/>
          </w:tblBorders>
        </w:tblPrEx>
        <w:trPr>
          <w:jc w:val="center"/>
        </w:trPr>
        <w:tc>
          <w:tcPr>
            <w:tcW w:w="2250" w:type="dxa"/>
            <w:tcBorders>
              <w:top w:val="nil"/>
              <w:left w:val="nil"/>
              <w:bottom w:val="single" w:sz="6" w:space="0" w:color="auto"/>
              <w:right w:val="nil"/>
            </w:tcBorders>
          </w:tcPr>
          <w:p w14:paraId="5CB26CBB" w14:textId="77777777" w:rsidR="00315077" w:rsidRPr="00F25315" w:rsidRDefault="00315077" w:rsidP="00315077">
            <w:pPr>
              <w:widowControl w:val="0"/>
              <w:autoSpaceDE w:val="0"/>
              <w:autoSpaceDN w:val="0"/>
              <w:adjustRightInd w:val="0"/>
              <w:rPr>
                <w:sz w:val="20"/>
                <w:szCs w:val="20"/>
              </w:rPr>
            </w:pPr>
            <w:r w:rsidRPr="00F25315">
              <w:rPr>
                <w:sz w:val="20"/>
                <w:szCs w:val="20"/>
              </w:rPr>
              <w:t>Pseudo R2</w:t>
            </w:r>
          </w:p>
        </w:tc>
        <w:tc>
          <w:tcPr>
            <w:tcW w:w="1260" w:type="dxa"/>
            <w:tcBorders>
              <w:top w:val="nil"/>
              <w:left w:val="nil"/>
              <w:bottom w:val="single" w:sz="6" w:space="0" w:color="auto"/>
              <w:right w:val="nil"/>
            </w:tcBorders>
          </w:tcPr>
          <w:p w14:paraId="44023B18"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0.296</w:t>
            </w:r>
          </w:p>
        </w:tc>
        <w:tc>
          <w:tcPr>
            <w:tcW w:w="1216" w:type="dxa"/>
            <w:tcBorders>
              <w:top w:val="nil"/>
              <w:left w:val="nil"/>
              <w:bottom w:val="single" w:sz="6" w:space="0" w:color="auto"/>
              <w:right w:val="nil"/>
            </w:tcBorders>
          </w:tcPr>
          <w:p w14:paraId="24A1D68C"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0.273</w:t>
            </w:r>
          </w:p>
        </w:tc>
        <w:tc>
          <w:tcPr>
            <w:tcW w:w="1158" w:type="dxa"/>
            <w:tcBorders>
              <w:top w:val="nil"/>
              <w:left w:val="nil"/>
              <w:bottom w:val="single" w:sz="6" w:space="0" w:color="auto"/>
              <w:right w:val="nil"/>
            </w:tcBorders>
          </w:tcPr>
          <w:p w14:paraId="6FB06FA1"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0.291</w:t>
            </w:r>
          </w:p>
        </w:tc>
        <w:tc>
          <w:tcPr>
            <w:tcW w:w="1159" w:type="dxa"/>
            <w:tcBorders>
              <w:top w:val="nil"/>
              <w:left w:val="nil"/>
              <w:bottom w:val="single" w:sz="6" w:space="0" w:color="auto"/>
              <w:right w:val="nil"/>
            </w:tcBorders>
          </w:tcPr>
          <w:p w14:paraId="5EB76B39"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0.291</w:t>
            </w:r>
          </w:p>
        </w:tc>
        <w:tc>
          <w:tcPr>
            <w:tcW w:w="1158" w:type="dxa"/>
            <w:tcBorders>
              <w:top w:val="nil"/>
              <w:left w:val="nil"/>
              <w:bottom w:val="single" w:sz="6" w:space="0" w:color="auto"/>
              <w:right w:val="nil"/>
            </w:tcBorders>
          </w:tcPr>
          <w:p w14:paraId="3D994DBD"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0.292</w:t>
            </w:r>
          </w:p>
        </w:tc>
        <w:tc>
          <w:tcPr>
            <w:tcW w:w="1159" w:type="dxa"/>
            <w:tcBorders>
              <w:top w:val="nil"/>
              <w:left w:val="nil"/>
              <w:bottom w:val="single" w:sz="6" w:space="0" w:color="auto"/>
              <w:right w:val="nil"/>
            </w:tcBorders>
          </w:tcPr>
          <w:p w14:paraId="3D4811F2" w14:textId="77777777" w:rsidR="00315077" w:rsidRPr="00F25315" w:rsidRDefault="00315077" w:rsidP="00315077">
            <w:pPr>
              <w:widowControl w:val="0"/>
              <w:autoSpaceDE w:val="0"/>
              <w:autoSpaceDN w:val="0"/>
              <w:adjustRightInd w:val="0"/>
              <w:jc w:val="center"/>
              <w:rPr>
                <w:sz w:val="20"/>
                <w:szCs w:val="20"/>
              </w:rPr>
            </w:pPr>
            <w:r w:rsidRPr="00F25315">
              <w:rPr>
                <w:sz w:val="20"/>
                <w:szCs w:val="20"/>
              </w:rPr>
              <w:t>0.292</w:t>
            </w:r>
          </w:p>
        </w:tc>
      </w:tr>
    </w:tbl>
    <w:p w14:paraId="43DF88E9" w14:textId="77777777" w:rsidR="00315077" w:rsidRPr="00971912" w:rsidRDefault="00315077" w:rsidP="00315077">
      <w:pPr>
        <w:widowControl w:val="0"/>
        <w:autoSpaceDE w:val="0"/>
        <w:autoSpaceDN w:val="0"/>
        <w:adjustRightInd w:val="0"/>
        <w:jc w:val="center"/>
        <w:rPr>
          <w:sz w:val="20"/>
          <w:szCs w:val="20"/>
        </w:rPr>
      </w:pPr>
      <w:r w:rsidRPr="00971912">
        <w:rPr>
          <w:sz w:val="20"/>
          <w:szCs w:val="20"/>
        </w:rPr>
        <w:t>Robust standard errors in parentheses</w:t>
      </w:r>
    </w:p>
    <w:p w14:paraId="7194322D" w14:textId="77777777" w:rsidR="00315077" w:rsidRPr="00971912" w:rsidRDefault="00315077" w:rsidP="00315077">
      <w:pPr>
        <w:widowControl w:val="0"/>
        <w:autoSpaceDE w:val="0"/>
        <w:autoSpaceDN w:val="0"/>
        <w:adjustRightInd w:val="0"/>
        <w:jc w:val="center"/>
        <w:rPr>
          <w:sz w:val="20"/>
          <w:szCs w:val="20"/>
        </w:rPr>
      </w:pPr>
      <w:r w:rsidRPr="00971912">
        <w:rPr>
          <w:sz w:val="20"/>
          <w:szCs w:val="20"/>
        </w:rPr>
        <w:t>*** p&lt;0.01, ** p&lt;0.05, * p&lt;0.1</w:t>
      </w:r>
    </w:p>
    <w:p w14:paraId="5D55D8E3" w14:textId="77777777" w:rsidR="00315077" w:rsidRPr="00971912" w:rsidRDefault="00315077" w:rsidP="00315077">
      <w:pPr>
        <w:widowControl w:val="0"/>
        <w:autoSpaceDE w:val="0"/>
        <w:autoSpaceDN w:val="0"/>
        <w:adjustRightInd w:val="0"/>
        <w:jc w:val="center"/>
        <w:rPr>
          <w:sz w:val="20"/>
          <w:szCs w:val="20"/>
        </w:rPr>
      </w:pPr>
      <w:r w:rsidRPr="00971912">
        <w:rPr>
          <w:sz w:val="20"/>
          <w:szCs w:val="20"/>
        </w:rPr>
        <w:t>All models include ROA, cumulative connections, party school, leadership years, central and local experience, age and age squared, graduate degree, and Xi Jinping era. Models include foreign exchange indicator for data source.</w:t>
      </w:r>
    </w:p>
    <w:p w14:paraId="416E7613" w14:textId="77777777" w:rsidR="00315077" w:rsidRDefault="00315077" w:rsidP="00315077">
      <w:pPr>
        <w:spacing w:after="160" w:line="259" w:lineRule="auto"/>
      </w:pPr>
      <w:r>
        <w:br w:type="page"/>
      </w:r>
    </w:p>
    <w:p w14:paraId="45B4892C" w14:textId="42BDB2EC" w:rsidR="00315077" w:rsidRPr="00127C2E" w:rsidRDefault="00315077" w:rsidP="00315077">
      <w:pPr>
        <w:spacing w:after="160" w:line="259" w:lineRule="auto"/>
        <w:jc w:val="center"/>
        <w:rPr>
          <w:b/>
          <w:bCs/>
        </w:rPr>
      </w:pPr>
      <w:r w:rsidRPr="00127C2E">
        <w:rPr>
          <w:b/>
          <w:bCs/>
        </w:rPr>
        <w:lastRenderedPageBreak/>
        <w:t>Table A10</w:t>
      </w:r>
      <w:r w:rsidR="00127C2E" w:rsidRPr="00127C2E">
        <w:rPr>
          <w:b/>
          <w:bCs/>
        </w:rPr>
        <w:t xml:space="preserve">: </w:t>
      </w:r>
      <w:r w:rsidRPr="00127C2E">
        <w:rPr>
          <w:b/>
          <w:bCs/>
        </w:rPr>
        <w:t>Non-linear Robustness Checks</w:t>
      </w:r>
    </w:p>
    <w:tbl>
      <w:tblPr>
        <w:tblW w:w="5000" w:type="pct"/>
        <w:jc w:val="center"/>
        <w:tblCellMar>
          <w:left w:w="75" w:type="dxa"/>
          <w:right w:w="75" w:type="dxa"/>
        </w:tblCellMar>
        <w:tblLook w:val="0000" w:firstRow="0" w:lastRow="0" w:firstColumn="0" w:lastColumn="0" w:noHBand="0" w:noVBand="0"/>
      </w:tblPr>
      <w:tblGrid>
        <w:gridCol w:w="2310"/>
        <w:gridCol w:w="900"/>
        <w:gridCol w:w="900"/>
        <w:gridCol w:w="900"/>
        <w:gridCol w:w="900"/>
        <w:gridCol w:w="900"/>
        <w:gridCol w:w="900"/>
        <w:gridCol w:w="900"/>
        <w:gridCol w:w="900"/>
      </w:tblGrid>
      <w:tr w:rsidR="00315077" w:rsidRPr="00C505B1" w14:paraId="24AAA4E4" w14:textId="77777777" w:rsidTr="00315077">
        <w:trPr>
          <w:jc w:val="center"/>
        </w:trPr>
        <w:tc>
          <w:tcPr>
            <w:tcW w:w="1215" w:type="pct"/>
            <w:tcBorders>
              <w:top w:val="single" w:sz="6" w:space="0" w:color="auto"/>
              <w:left w:val="nil"/>
              <w:bottom w:val="nil"/>
              <w:right w:val="nil"/>
            </w:tcBorders>
          </w:tcPr>
          <w:p w14:paraId="39FF47C2" w14:textId="77777777" w:rsidR="00315077" w:rsidRPr="00C505B1" w:rsidRDefault="00315077" w:rsidP="00315077">
            <w:pPr>
              <w:widowControl w:val="0"/>
              <w:autoSpaceDE w:val="0"/>
              <w:autoSpaceDN w:val="0"/>
              <w:adjustRightInd w:val="0"/>
              <w:rPr>
                <w:sz w:val="20"/>
                <w:szCs w:val="20"/>
              </w:rPr>
            </w:pPr>
          </w:p>
        </w:tc>
        <w:tc>
          <w:tcPr>
            <w:tcW w:w="473" w:type="pct"/>
            <w:tcBorders>
              <w:top w:val="single" w:sz="6" w:space="0" w:color="auto"/>
              <w:left w:val="nil"/>
              <w:bottom w:val="nil"/>
              <w:right w:val="nil"/>
            </w:tcBorders>
          </w:tcPr>
          <w:p w14:paraId="1170B11A"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(1)</w:t>
            </w:r>
          </w:p>
        </w:tc>
        <w:tc>
          <w:tcPr>
            <w:tcW w:w="473" w:type="pct"/>
            <w:tcBorders>
              <w:top w:val="single" w:sz="6" w:space="0" w:color="auto"/>
              <w:left w:val="nil"/>
              <w:bottom w:val="nil"/>
              <w:right w:val="nil"/>
            </w:tcBorders>
          </w:tcPr>
          <w:p w14:paraId="2B46DAD5"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(2)</w:t>
            </w:r>
          </w:p>
        </w:tc>
        <w:tc>
          <w:tcPr>
            <w:tcW w:w="473" w:type="pct"/>
            <w:tcBorders>
              <w:top w:val="single" w:sz="6" w:space="0" w:color="auto"/>
              <w:left w:val="nil"/>
              <w:bottom w:val="nil"/>
              <w:right w:val="nil"/>
            </w:tcBorders>
          </w:tcPr>
          <w:p w14:paraId="5845F38C"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(3)</w:t>
            </w:r>
          </w:p>
        </w:tc>
        <w:tc>
          <w:tcPr>
            <w:tcW w:w="473" w:type="pct"/>
            <w:tcBorders>
              <w:top w:val="single" w:sz="6" w:space="0" w:color="auto"/>
              <w:left w:val="nil"/>
              <w:bottom w:val="nil"/>
              <w:right w:val="nil"/>
            </w:tcBorders>
          </w:tcPr>
          <w:p w14:paraId="0E9D175B"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(4)</w:t>
            </w:r>
          </w:p>
        </w:tc>
        <w:tc>
          <w:tcPr>
            <w:tcW w:w="473" w:type="pct"/>
            <w:tcBorders>
              <w:top w:val="single" w:sz="6" w:space="0" w:color="auto"/>
              <w:left w:val="nil"/>
              <w:bottom w:val="nil"/>
              <w:right w:val="nil"/>
            </w:tcBorders>
          </w:tcPr>
          <w:p w14:paraId="3B95BB33"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(5)</w:t>
            </w:r>
          </w:p>
        </w:tc>
        <w:tc>
          <w:tcPr>
            <w:tcW w:w="473" w:type="pct"/>
            <w:tcBorders>
              <w:top w:val="single" w:sz="6" w:space="0" w:color="auto"/>
              <w:left w:val="nil"/>
              <w:bottom w:val="nil"/>
              <w:right w:val="nil"/>
            </w:tcBorders>
          </w:tcPr>
          <w:p w14:paraId="7A3B75C1"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(6)</w:t>
            </w:r>
          </w:p>
        </w:tc>
        <w:tc>
          <w:tcPr>
            <w:tcW w:w="473" w:type="pct"/>
            <w:tcBorders>
              <w:top w:val="single" w:sz="6" w:space="0" w:color="auto"/>
              <w:left w:val="nil"/>
              <w:bottom w:val="nil"/>
              <w:right w:val="nil"/>
            </w:tcBorders>
          </w:tcPr>
          <w:p w14:paraId="56217256"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(7)</w:t>
            </w:r>
          </w:p>
        </w:tc>
        <w:tc>
          <w:tcPr>
            <w:tcW w:w="473" w:type="pct"/>
            <w:tcBorders>
              <w:top w:val="single" w:sz="6" w:space="0" w:color="auto"/>
              <w:left w:val="nil"/>
              <w:bottom w:val="nil"/>
              <w:right w:val="nil"/>
            </w:tcBorders>
          </w:tcPr>
          <w:p w14:paraId="5C2C2595"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(8)</w:t>
            </w:r>
          </w:p>
        </w:tc>
      </w:tr>
      <w:tr w:rsidR="00315077" w:rsidRPr="00C505B1" w14:paraId="1F9C5E0B" w14:textId="77777777" w:rsidTr="00315077">
        <w:trPr>
          <w:jc w:val="center"/>
        </w:trPr>
        <w:tc>
          <w:tcPr>
            <w:tcW w:w="1215" w:type="pct"/>
            <w:tcBorders>
              <w:top w:val="nil"/>
              <w:left w:val="nil"/>
              <w:bottom w:val="single" w:sz="6" w:space="0" w:color="auto"/>
              <w:right w:val="nil"/>
            </w:tcBorders>
          </w:tcPr>
          <w:p w14:paraId="4184778D" w14:textId="77777777" w:rsidR="00315077" w:rsidRPr="00C505B1" w:rsidRDefault="00315077" w:rsidP="00315077">
            <w:pPr>
              <w:widowControl w:val="0"/>
              <w:autoSpaceDE w:val="0"/>
              <w:autoSpaceDN w:val="0"/>
              <w:adjustRightInd w:val="0"/>
              <w:rPr>
                <w:sz w:val="20"/>
                <w:szCs w:val="20"/>
              </w:rPr>
            </w:pPr>
            <w:r w:rsidRPr="00C505B1">
              <w:rPr>
                <w:sz w:val="20"/>
                <w:szCs w:val="20"/>
              </w:rPr>
              <w:t>VARIABLES</w:t>
            </w:r>
          </w:p>
        </w:tc>
        <w:tc>
          <w:tcPr>
            <w:tcW w:w="473" w:type="pct"/>
            <w:tcBorders>
              <w:top w:val="nil"/>
              <w:left w:val="nil"/>
              <w:bottom w:val="single" w:sz="6" w:space="0" w:color="auto"/>
              <w:right w:val="nil"/>
            </w:tcBorders>
          </w:tcPr>
          <w:p w14:paraId="11EB22F5"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single" w:sz="6" w:space="0" w:color="auto"/>
              <w:right w:val="nil"/>
            </w:tcBorders>
          </w:tcPr>
          <w:p w14:paraId="04A8D677"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single" w:sz="6" w:space="0" w:color="auto"/>
              <w:right w:val="nil"/>
            </w:tcBorders>
          </w:tcPr>
          <w:p w14:paraId="5C385551"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single" w:sz="6" w:space="0" w:color="auto"/>
              <w:right w:val="nil"/>
            </w:tcBorders>
          </w:tcPr>
          <w:p w14:paraId="782DE634"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single" w:sz="6" w:space="0" w:color="auto"/>
              <w:right w:val="nil"/>
            </w:tcBorders>
          </w:tcPr>
          <w:p w14:paraId="13E55AAB"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single" w:sz="6" w:space="0" w:color="auto"/>
              <w:right w:val="nil"/>
            </w:tcBorders>
          </w:tcPr>
          <w:p w14:paraId="60D41CAC"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single" w:sz="6" w:space="0" w:color="auto"/>
              <w:right w:val="nil"/>
            </w:tcBorders>
          </w:tcPr>
          <w:p w14:paraId="445CE86C"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single" w:sz="6" w:space="0" w:color="auto"/>
              <w:right w:val="nil"/>
            </w:tcBorders>
          </w:tcPr>
          <w:p w14:paraId="3B4D4D54" w14:textId="77777777" w:rsidR="00315077" w:rsidRPr="00C505B1" w:rsidRDefault="00315077" w:rsidP="00315077">
            <w:pPr>
              <w:widowControl w:val="0"/>
              <w:autoSpaceDE w:val="0"/>
              <w:autoSpaceDN w:val="0"/>
              <w:adjustRightInd w:val="0"/>
              <w:jc w:val="center"/>
              <w:rPr>
                <w:sz w:val="20"/>
                <w:szCs w:val="20"/>
              </w:rPr>
            </w:pPr>
          </w:p>
        </w:tc>
      </w:tr>
      <w:tr w:rsidR="00315077" w:rsidRPr="00C505B1" w14:paraId="18FAD58D" w14:textId="77777777" w:rsidTr="00315077">
        <w:trPr>
          <w:jc w:val="center"/>
        </w:trPr>
        <w:tc>
          <w:tcPr>
            <w:tcW w:w="1215" w:type="pct"/>
            <w:tcBorders>
              <w:top w:val="nil"/>
              <w:left w:val="nil"/>
              <w:bottom w:val="nil"/>
              <w:right w:val="nil"/>
            </w:tcBorders>
          </w:tcPr>
          <w:p w14:paraId="4CD08D42" w14:textId="77777777" w:rsidR="00315077" w:rsidRPr="00C505B1" w:rsidRDefault="00315077" w:rsidP="00315077">
            <w:pPr>
              <w:widowControl w:val="0"/>
              <w:autoSpaceDE w:val="0"/>
              <w:autoSpaceDN w:val="0"/>
              <w:adjustRightInd w:val="0"/>
              <w:rPr>
                <w:sz w:val="20"/>
                <w:szCs w:val="20"/>
              </w:rPr>
            </w:pPr>
          </w:p>
        </w:tc>
        <w:tc>
          <w:tcPr>
            <w:tcW w:w="473" w:type="pct"/>
            <w:tcBorders>
              <w:top w:val="nil"/>
              <w:left w:val="nil"/>
              <w:bottom w:val="nil"/>
              <w:right w:val="nil"/>
            </w:tcBorders>
          </w:tcPr>
          <w:p w14:paraId="77C7FED4"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4E8813C2"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556AE659"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0113BB41"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6D0354B3"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33D537B0"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15C62618"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6DB0214F" w14:textId="77777777" w:rsidR="00315077" w:rsidRPr="00C505B1" w:rsidRDefault="00315077" w:rsidP="00315077">
            <w:pPr>
              <w:widowControl w:val="0"/>
              <w:autoSpaceDE w:val="0"/>
              <w:autoSpaceDN w:val="0"/>
              <w:adjustRightInd w:val="0"/>
              <w:jc w:val="center"/>
              <w:rPr>
                <w:sz w:val="20"/>
                <w:szCs w:val="20"/>
              </w:rPr>
            </w:pPr>
          </w:p>
        </w:tc>
      </w:tr>
      <w:tr w:rsidR="00315077" w:rsidRPr="00C505B1" w14:paraId="2628DBE6" w14:textId="77777777" w:rsidTr="00315077">
        <w:trPr>
          <w:jc w:val="center"/>
        </w:trPr>
        <w:tc>
          <w:tcPr>
            <w:tcW w:w="1215" w:type="pct"/>
            <w:tcBorders>
              <w:top w:val="nil"/>
              <w:left w:val="nil"/>
              <w:bottom w:val="nil"/>
              <w:right w:val="nil"/>
            </w:tcBorders>
          </w:tcPr>
          <w:p w14:paraId="69DF53D1" w14:textId="77777777" w:rsidR="00315077" w:rsidRPr="00C505B1" w:rsidRDefault="00315077" w:rsidP="00315077">
            <w:pPr>
              <w:widowControl w:val="0"/>
              <w:autoSpaceDE w:val="0"/>
              <w:autoSpaceDN w:val="0"/>
              <w:adjustRightInd w:val="0"/>
              <w:rPr>
                <w:sz w:val="20"/>
                <w:szCs w:val="20"/>
              </w:rPr>
            </w:pPr>
            <w:r w:rsidRPr="00C505B1">
              <w:rPr>
                <w:sz w:val="20"/>
                <w:szCs w:val="20"/>
              </w:rPr>
              <w:t>ROA</w:t>
            </w:r>
          </w:p>
        </w:tc>
        <w:tc>
          <w:tcPr>
            <w:tcW w:w="473" w:type="pct"/>
            <w:tcBorders>
              <w:top w:val="nil"/>
              <w:left w:val="nil"/>
              <w:bottom w:val="nil"/>
              <w:right w:val="nil"/>
            </w:tcBorders>
          </w:tcPr>
          <w:p w14:paraId="379F71B6"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0.452*</w:t>
            </w:r>
          </w:p>
        </w:tc>
        <w:tc>
          <w:tcPr>
            <w:tcW w:w="473" w:type="pct"/>
            <w:tcBorders>
              <w:top w:val="nil"/>
              <w:left w:val="nil"/>
              <w:bottom w:val="nil"/>
              <w:right w:val="nil"/>
            </w:tcBorders>
          </w:tcPr>
          <w:p w14:paraId="7ADA2576"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0.943</w:t>
            </w:r>
          </w:p>
        </w:tc>
        <w:tc>
          <w:tcPr>
            <w:tcW w:w="473" w:type="pct"/>
            <w:tcBorders>
              <w:top w:val="nil"/>
              <w:left w:val="nil"/>
              <w:bottom w:val="nil"/>
              <w:right w:val="nil"/>
            </w:tcBorders>
          </w:tcPr>
          <w:p w14:paraId="1DDC119C"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0.451</w:t>
            </w:r>
          </w:p>
        </w:tc>
        <w:tc>
          <w:tcPr>
            <w:tcW w:w="473" w:type="pct"/>
            <w:tcBorders>
              <w:top w:val="nil"/>
              <w:left w:val="nil"/>
              <w:bottom w:val="nil"/>
              <w:right w:val="nil"/>
            </w:tcBorders>
          </w:tcPr>
          <w:p w14:paraId="1E9C5D53"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6FB4EFD9"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0B62489A"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5487FDA8"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001AFB57" w14:textId="77777777" w:rsidR="00315077" w:rsidRPr="00C505B1" w:rsidRDefault="00315077" w:rsidP="00315077">
            <w:pPr>
              <w:widowControl w:val="0"/>
              <w:autoSpaceDE w:val="0"/>
              <w:autoSpaceDN w:val="0"/>
              <w:adjustRightInd w:val="0"/>
              <w:jc w:val="center"/>
              <w:rPr>
                <w:sz w:val="20"/>
                <w:szCs w:val="20"/>
              </w:rPr>
            </w:pPr>
          </w:p>
        </w:tc>
      </w:tr>
      <w:tr w:rsidR="00315077" w:rsidRPr="00C505B1" w14:paraId="40A19E82" w14:textId="77777777" w:rsidTr="00315077">
        <w:trPr>
          <w:jc w:val="center"/>
        </w:trPr>
        <w:tc>
          <w:tcPr>
            <w:tcW w:w="1215" w:type="pct"/>
            <w:tcBorders>
              <w:top w:val="nil"/>
              <w:left w:val="nil"/>
              <w:bottom w:val="nil"/>
              <w:right w:val="nil"/>
            </w:tcBorders>
          </w:tcPr>
          <w:p w14:paraId="0888CF3E" w14:textId="77777777" w:rsidR="00315077" w:rsidRPr="00C505B1" w:rsidRDefault="00315077" w:rsidP="00315077">
            <w:pPr>
              <w:widowControl w:val="0"/>
              <w:autoSpaceDE w:val="0"/>
              <w:autoSpaceDN w:val="0"/>
              <w:adjustRightInd w:val="0"/>
              <w:rPr>
                <w:sz w:val="20"/>
                <w:szCs w:val="20"/>
              </w:rPr>
            </w:pPr>
          </w:p>
        </w:tc>
        <w:tc>
          <w:tcPr>
            <w:tcW w:w="473" w:type="pct"/>
            <w:tcBorders>
              <w:top w:val="nil"/>
              <w:left w:val="nil"/>
              <w:bottom w:val="nil"/>
              <w:right w:val="nil"/>
            </w:tcBorders>
          </w:tcPr>
          <w:p w14:paraId="0383205E"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(0.235)</w:t>
            </w:r>
          </w:p>
        </w:tc>
        <w:tc>
          <w:tcPr>
            <w:tcW w:w="473" w:type="pct"/>
            <w:tcBorders>
              <w:top w:val="nil"/>
              <w:left w:val="nil"/>
              <w:bottom w:val="nil"/>
              <w:right w:val="nil"/>
            </w:tcBorders>
          </w:tcPr>
          <w:p w14:paraId="587D7B62"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(2.434)</w:t>
            </w:r>
          </w:p>
        </w:tc>
        <w:tc>
          <w:tcPr>
            <w:tcW w:w="473" w:type="pct"/>
            <w:tcBorders>
              <w:top w:val="nil"/>
              <w:left w:val="nil"/>
              <w:bottom w:val="nil"/>
              <w:right w:val="nil"/>
            </w:tcBorders>
          </w:tcPr>
          <w:p w14:paraId="60F33225"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(0.284)</w:t>
            </w:r>
          </w:p>
        </w:tc>
        <w:tc>
          <w:tcPr>
            <w:tcW w:w="473" w:type="pct"/>
            <w:tcBorders>
              <w:top w:val="nil"/>
              <w:left w:val="nil"/>
              <w:bottom w:val="nil"/>
              <w:right w:val="nil"/>
            </w:tcBorders>
          </w:tcPr>
          <w:p w14:paraId="6CD7A395"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27AB8BC8"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7B1E4CD9"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54770ED3"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7680A75D" w14:textId="77777777" w:rsidR="00315077" w:rsidRPr="00C505B1" w:rsidRDefault="00315077" w:rsidP="00315077">
            <w:pPr>
              <w:widowControl w:val="0"/>
              <w:autoSpaceDE w:val="0"/>
              <w:autoSpaceDN w:val="0"/>
              <w:adjustRightInd w:val="0"/>
              <w:jc w:val="center"/>
              <w:rPr>
                <w:sz w:val="20"/>
                <w:szCs w:val="20"/>
              </w:rPr>
            </w:pPr>
          </w:p>
        </w:tc>
      </w:tr>
      <w:tr w:rsidR="00315077" w:rsidRPr="00C505B1" w14:paraId="2066F3DA" w14:textId="77777777" w:rsidTr="00315077">
        <w:trPr>
          <w:jc w:val="center"/>
        </w:trPr>
        <w:tc>
          <w:tcPr>
            <w:tcW w:w="1215" w:type="pct"/>
            <w:tcBorders>
              <w:top w:val="nil"/>
              <w:left w:val="nil"/>
              <w:bottom w:val="nil"/>
              <w:right w:val="nil"/>
            </w:tcBorders>
          </w:tcPr>
          <w:p w14:paraId="134AC7A8" w14:textId="77777777" w:rsidR="00315077" w:rsidRPr="00C505B1" w:rsidRDefault="00315077" w:rsidP="00315077">
            <w:pPr>
              <w:widowControl w:val="0"/>
              <w:autoSpaceDE w:val="0"/>
              <w:autoSpaceDN w:val="0"/>
              <w:adjustRightInd w:val="0"/>
              <w:rPr>
                <w:sz w:val="20"/>
                <w:szCs w:val="20"/>
              </w:rPr>
            </w:pPr>
            <w:r w:rsidRPr="00C505B1">
              <w:rPr>
                <w:sz w:val="20"/>
                <w:szCs w:val="20"/>
              </w:rPr>
              <w:t>ROA X ROA</w:t>
            </w:r>
          </w:p>
        </w:tc>
        <w:tc>
          <w:tcPr>
            <w:tcW w:w="473" w:type="pct"/>
            <w:tcBorders>
              <w:top w:val="nil"/>
              <w:left w:val="nil"/>
              <w:bottom w:val="nil"/>
              <w:right w:val="nil"/>
            </w:tcBorders>
          </w:tcPr>
          <w:p w14:paraId="36DA371F"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-0.0427</w:t>
            </w:r>
          </w:p>
        </w:tc>
        <w:tc>
          <w:tcPr>
            <w:tcW w:w="473" w:type="pct"/>
            <w:tcBorders>
              <w:top w:val="nil"/>
              <w:left w:val="nil"/>
              <w:bottom w:val="nil"/>
              <w:right w:val="nil"/>
            </w:tcBorders>
          </w:tcPr>
          <w:p w14:paraId="6C8177DA"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3DDFCCFF"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4DC83491"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14958807"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479036DB"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02953FE3"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32C09027" w14:textId="77777777" w:rsidR="00315077" w:rsidRPr="00C505B1" w:rsidRDefault="00315077" w:rsidP="00315077">
            <w:pPr>
              <w:widowControl w:val="0"/>
              <w:autoSpaceDE w:val="0"/>
              <w:autoSpaceDN w:val="0"/>
              <w:adjustRightInd w:val="0"/>
              <w:jc w:val="center"/>
              <w:rPr>
                <w:sz w:val="20"/>
                <w:szCs w:val="20"/>
              </w:rPr>
            </w:pPr>
          </w:p>
        </w:tc>
      </w:tr>
      <w:tr w:rsidR="00315077" w:rsidRPr="00C505B1" w14:paraId="4DE94EFF" w14:textId="77777777" w:rsidTr="00315077">
        <w:trPr>
          <w:jc w:val="center"/>
        </w:trPr>
        <w:tc>
          <w:tcPr>
            <w:tcW w:w="1215" w:type="pct"/>
            <w:tcBorders>
              <w:top w:val="nil"/>
              <w:left w:val="nil"/>
              <w:bottom w:val="nil"/>
              <w:right w:val="nil"/>
            </w:tcBorders>
          </w:tcPr>
          <w:p w14:paraId="28A5A7D9" w14:textId="77777777" w:rsidR="00315077" w:rsidRPr="00C505B1" w:rsidRDefault="00315077" w:rsidP="00315077">
            <w:pPr>
              <w:widowControl w:val="0"/>
              <w:autoSpaceDE w:val="0"/>
              <w:autoSpaceDN w:val="0"/>
              <w:adjustRightInd w:val="0"/>
              <w:rPr>
                <w:sz w:val="20"/>
                <w:szCs w:val="20"/>
              </w:rPr>
            </w:pPr>
          </w:p>
        </w:tc>
        <w:tc>
          <w:tcPr>
            <w:tcW w:w="473" w:type="pct"/>
            <w:tcBorders>
              <w:top w:val="nil"/>
              <w:left w:val="nil"/>
              <w:bottom w:val="nil"/>
              <w:right w:val="nil"/>
            </w:tcBorders>
          </w:tcPr>
          <w:p w14:paraId="7624E567"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(0.170)</w:t>
            </w:r>
          </w:p>
        </w:tc>
        <w:tc>
          <w:tcPr>
            <w:tcW w:w="473" w:type="pct"/>
            <w:tcBorders>
              <w:top w:val="nil"/>
              <w:left w:val="nil"/>
              <w:bottom w:val="nil"/>
              <w:right w:val="nil"/>
            </w:tcBorders>
          </w:tcPr>
          <w:p w14:paraId="00819BC1"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0740EDFE"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60F6E990"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7B6B18CE"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56A3971D"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5CE90C2D"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7384EF9D" w14:textId="77777777" w:rsidR="00315077" w:rsidRPr="00C505B1" w:rsidRDefault="00315077" w:rsidP="00315077">
            <w:pPr>
              <w:widowControl w:val="0"/>
              <w:autoSpaceDE w:val="0"/>
              <w:autoSpaceDN w:val="0"/>
              <w:adjustRightInd w:val="0"/>
              <w:jc w:val="center"/>
              <w:rPr>
                <w:sz w:val="20"/>
                <w:szCs w:val="20"/>
              </w:rPr>
            </w:pPr>
          </w:p>
        </w:tc>
      </w:tr>
      <w:tr w:rsidR="00315077" w:rsidRPr="00C505B1" w14:paraId="2CFEDA69" w14:textId="77777777" w:rsidTr="00315077">
        <w:trPr>
          <w:jc w:val="center"/>
        </w:trPr>
        <w:tc>
          <w:tcPr>
            <w:tcW w:w="1215" w:type="pct"/>
            <w:tcBorders>
              <w:top w:val="nil"/>
              <w:left w:val="nil"/>
              <w:bottom w:val="nil"/>
              <w:right w:val="nil"/>
            </w:tcBorders>
          </w:tcPr>
          <w:p w14:paraId="0A887B4F" w14:textId="77777777" w:rsidR="00315077" w:rsidRPr="00C505B1" w:rsidRDefault="00315077" w:rsidP="00315077">
            <w:pPr>
              <w:widowControl w:val="0"/>
              <w:autoSpaceDE w:val="0"/>
              <w:autoSpaceDN w:val="0"/>
              <w:adjustRightInd w:val="0"/>
              <w:rPr>
                <w:sz w:val="20"/>
                <w:szCs w:val="20"/>
              </w:rPr>
            </w:pPr>
            <w:r w:rsidRPr="00C505B1">
              <w:rPr>
                <w:sz w:val="20"/>
                <w:szCs w:val="20"/>
              </w:rPr>
              <w:t>ROA X Age</w:t>
            </w:r>
          </w:p>
        </w:tc>
        <w:tc>
          <w:tcPr>
            <w:tcW w:w="473" w:type="pct"/>
            <w:tcBorders>
              <w:top w:val="nil"/>
              <w:left w:val="nil"/>
              <w:bottom w:val="nil"/>
              <w:right w:val="nil"/>
            </w:tcBorders>
          </w:tcPr>
          <w:p w14:paraId="30EF440A"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66121244"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-0.00824</w:t>
            </w:r>
          </w:p>
        </w:tc>
        <w:tc>
          <w:tcPr>
            <w:tcW w:w="473" w:type="pct"/>
            <w:tcBorders>
              <w:top w:val="nil"/>
              <w:left w:val="nil"/>
              <w:bottom w:val="nil"/>
              <w:right w:val="nil"/>
            </w:tcBorders>
          </w:tcPr>
          <w:p w14:paraId="5E53A45A"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49D4EEE1"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08DD13F2"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2452D51A"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18C6040A"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7F95B2F2" w14:textId="77777777" w:rsidR="00315077" w:rsidRPr="00C505B1" w:rsidRDefault="00315077" w:rsidP="00315077">
            <w:pPr>
              <w:widowControl w:val="0"/>
              <w:autoSpaceDE w:val="0"/>
              <w:autoSpaceDN w:val="0"/>
              <w:adjustRightInd w:val="0"/>
              <w:jc w:val="center"/>
              <w:rPr>
                <w:sz w:val="20"/>
                <w:szCs w:val="20"/>
              </w:rPr>
            </w:pPr>
          </w:p>
        </w:tc>
      </w:tr>
      <w:tr w:rsidR="00315077" w:rsidRPr="00C505B1" w14:paraId="5B48FE86" w14:textId="77777777" w:rsidTr="00315077">
        <w:trPr>
          <w:jc w:val="center"/>
        </w:trPr>
        <w:tc>
          <w:tcPr>
            <w:tcW w:w="1215" w:type="pct"/>
            <w:tcBorders>
              <w:top w:val="nil"/>
              <w:left w:val="nil"/>
              <w:bottom w:val="nil"/>
              <w:right w:val="nil"/>
            </w:tcBorders>
          </w:tcPr>
          <w:p w14:paraId="480DC895" w14:textId="77777777" w:rsidR="00315077" w:rsidRPr="00C505B1" w:rsidRDefault="00315077" w:rsidP="00315077">
            <w:pPr>
              <w:widowControl w:val="0"/>
              <w:autoSpaceDE w:val="0"/>
              <w:autoSpaceDN w:val="0"/>
              <w:adjustRightInd w:val="0"/>
              <w:rPr>
                <w:sz w:val="20"/>
                <w:szCs w:val="20"/>
              </w:rPr>
            </w:pPr>
          </w:p>
        </w:tc>
        <w:tc>
          <w:tcPr>
            <w:tcW w:w="473" w:type="pct"/>
            <w:tcBorders>
              <w:top w:val="nil"/>
              <w:left w:val="nil"/>
              <w:bottom w:val="nil"/>
              <w:right w:val="nil"/>
            </w:tcBorders>
          </w:tcPr>
          <w:p w14:paraId="53D4DF2F"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2882ECDC"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(0.0424)</w:t>
            </w:r>
          </w:p>
        </w:tc>
        <w:tc>
          <w:tcPr>
            <w:tcW w:w="473" w:type="pct"/>
            <w:tcBorders>
              <w:top w:val="nil"/>
              <w:left w:val="nil"/>
              <w:bottom w:val="nil"/>
              <w:right w:val="nil"/>
            </w:tcBorders>
          </w:tcPr>
          <w:p w14:paraId="41C58525"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5191B262"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5D75408D"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763A5116"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3645C077"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2CF5584B" w14:textId="77777777" w:rsidR="00315077" w:rsidRPr="00C505B1" w:rsidRDefault="00315077" w:rsidP="00315077">
            <w:pPr>
              <w:widowControl w:val="0"/>
              <w:autoSpaceDE w:val="0"/>
              <w:autoSpaceDN w:val="0"/>
              <w:adjustRightInd w:val="0"/>
              <w:jc w:val="center"/>
              <w:rPr>
                <w:sz w:val="20"/>
                <w:szCs w:val="20"/>
              </w:rPr>
            </w:pPr>
          </w:p>
        </w:tc>
      </w:tr>
      <w:tr w:rsidR="00315077" w:rsidRPr="00C505B1" w14:paraId="79BD46A7" w14:textId="77777777" w:rsidTr="00315077">
        <w:trPr>
          <w:jc w:val="center"/>
        </w:trPr>
        <w:tc>
          <w:tcPr>
            <w:tcW w:w="1215" w:type="pct"/>
            <w:tcBorders>
              <w:top w:val="nil"/>
              <w:left w:val="nil"/>
              <w:bottom w:val="nil"/>
              <w:right w:val="nil"/>
            </w:tcBorders>
          </w:tcPr>
          <w:p w14:paraId="1A594D3F" w14:textId="77777777" w:rsidR="00315077" w:rsidRPr="00C505B1" w:rsidRDefault="00315077" w:rsidP="00315077">
            <w:pPr>
              <w:widowControl w:val="0"/>
              <w:autoSpaceDE w:val="0"/>
              <w:autoSpaceDN w:val="0"/>
              <w:adjustRightInd w:val="0"/>
              <w:rPr>
                <w:sz w:val="20"/>
                <w:szCs w:val="20"/>
              </w:rPr>
            </w:pPr>
            <w:r w:rsidRPr="00C505B1">
              <w:rPr>
                <w:sz w:val="20"/>
                <w:szCs w:val="20"/>
              </w:rPr>
              <w:t>ROA X Above Retirement</w:t>
            </w:r>
          </w:p>
        </w:tc>
        <w:tc>
          <w:tcPr>
            <w:tcW w:w="473" w:type="pct"/>
            <w:tcBorders>
              <w:top w:val="nil"/>
              <w:left w:val="nil"/>
              <w:bottom w:val="nil"/>
              <w:right w:val="nil"/>
            </w:tcBorders>
          </w:tcPr>
          <w:p w14:paraId="6EF5394F"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50A47A38"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50F18D2F"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0.0624</w:t>
            </w:r>
          </w:p>
        </w:tc>
        <w:tc>
          <w:tcPr>
            <w:tcW w:w="473" w:type="pct"/>
            <w:tcBorders>
              <w:top w:val="nil"/>
              <w:left w:val="nil"/>
              <w:bottom w:val="nil"/>
              <w:right w:val="nil"/>
            </w:tcBorders>
          </w:tcPr>
          <w:p w14:paraId="5DC231EB"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7E01E925"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2A5A3C69"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62CC474F"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51D88042" w14:textId="77777777" w:rsidR="00315077" w:rsidRPr="00C505B1" w:rsidRDefault="00315077" w:rsidP="00315077">
            <w:pPr>
              <w:widowControl w:val="0"/>
              <w:autoSpaceDE w:val="0"/>
              <w:autoSpaceDN w:val="0"/>
              <w:adjustRightInd w:val="0"/>
              <w:jc w:val="center"/>
              <w:rPr>
                <w:sz w:val="20"/>
                <w:szCs w:val="20"/>
              </w:rPr>
            </w:pPr>
          </w:p>
        </w:tc>
      </w:tr>
      <w:tr w:rsidR="00315077" w:rsidRPr="00C505B1" w14:paraId="6EAEE3C7" w14:textId="77777777" w:rsidTr="00315077">
        <w:trPr>
          <w:jc w:val="center"/>
        </w:trPr>
        <w:tc>
          <w:tcPr>
            <w:tcW w:w="1215" w:type="pct"/>
            <w:tcBorders>
              <w:top w:val="nil"/>
              <w:left w:val="nil"/>
              <w:bottom w:val="nil"/>
              <w:right w:val="nil"/>
            </w:tcBorders>
          </w:tcPr>
          <w:p w14:paraId="6D4C7D56" w14:textId="77777777" w:rsidR="00315077" w:rsidRPr="00C505B1" w:rsidRDefault="00315077" w:rsidP="00315077">
            <w:pPr>
              <w:widowControl w:val="0"/>
              <w:autoSpaceDE w:val="0"/>
              <w:autoSpaceDN w:val="0"/>
              <w:adjustRightInd w:val="0"/>
              <w:rPr>
                <w:sz w:val="20"/>
                <w:szCs w:val="20"/>
              </w:rPr>
            </w:pPr>
          </w:p>
        </w:tc>
        <w:tc>
          <w:tcPr>
            <w:tcW w:w="473" w:type="pct"/>
            <w:tcBorders>
              <w:top w:val="nil"/>
              <w:left w:val="nil"/>
              <w:bottom w:val="nil"/>
              <w:right w:val="nil"/>
            </w:tcBorders>
          </w:tcPr>
          <w:p w14:paraId="2A713212"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539AB0AF"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707902BC"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(0.479)</w:t>
            </w:r>
          </w:p>
        </w:tc>
        <w:tc>
          <w:tcPr>
            <w:tcW w:w="473" w:type="pct"/>
            <w:tcBorders>
              <w:top w:val="nil"/>
              <w:left w:val="nil"/>
              <w:bottom w:val="nil"/>
              <w:right w:val="nil"/>
            </w:tcBorders>
          </w:tcPr>
          <w:p w14:paraId="6D6AEC57"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39F9C429"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3DE72ACB"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686175AD"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7DEC5612" w14:textId="77777777" w:rsidR="00315077" w:rsidRPr="00C505B1" w:rsidRDefault="00315077" w:rsidP="00315077">
            <w:pPr>
              <w:widowControl w:val="0"/>
              <w:autoSpaceDE w:val="0"/>
              <w:autoSpaceDN w:val="0"/>
              <w:adjustRightInd w:val="0"/>
              <w:jc w:val="center"/>
              <w:rPr>
                <w:sz w:val="20"/>
                <w:szCs w:val="20"/>
              </w:rPr>
            </w:pPr>
          </w:p>
        </w:tc>
      </w:tr>
      <w:tr w:rsidR="00315077" w:rsidRPr="00C505B1" w14:paraId="7619BB73" w14:textId="77777777" w:rsidTr="00315077">
        <w:trPr>
          <w:jc w:val="center"/>
        </w:trPr>
        <w:tc>
          <w:tcPr>
            <w:tcW w:w="1215" w:type="pct"/>
            <w:tcBorders>
              <w:top w:val="nil"/>
              <w:left w:val="nil"/>
              <w:bottom w:val="nil"/>
              <w:right w:val="nil"/>
            </w:tcBorders>
          </w:tcPr>
          <w:p w14:paraId="46653138" w14:textId="77777777" w:rsidR="00315077" w:rsidRPr="00C505B1" w:rsidRDefault="00315077" w:rsidP="00315077">
            <w:pPr>
              <w:widowControl w:val="0"/>
              <w:autoSpaceDE w:val="0"/>
              <w:autoSpaceDN w:val="0"/>
              <w:adjustRightInd w:val="0"/>
              <w:rPr>
                <w:sz w:val="20"/>
                <w:szCs w:val="20"/>
              </w:rPr>
            </w:pPr>
            <w:r w:rsidRPr="00C505B1">
              <w:rPr>
                <w:sz w:val="20"/>
                <w:szCs w:val="20"/>
              </w:rPr>
              <w:t>ROA (Diff)</w:t>
            </w:r>
          </w:p>
        </w:tc>
        <w:tc>
          <w:tcPr>
            <w:tcW w:w="473" w:type="pct"/>
            <w:tcBorders>
              <w:top w:val="nil"/>
              <w:left w:val="nil"/>
              <w:bottom w:val="nil"/>
              <w:right w:val="nil"/>
            </w:tcBorders>
          </w:tcPr>
          <w:p w14:paraId="331E08C9"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2243DFE3"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20F0CB47"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50B32507"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0.453*</w:t>
            </w:r>
          </w:p>
        </w:tc>
        <w:tc>
          <w:tcPr>
            <w:tcW w:w="473" w:type="pct"/>
            <w:tcBorders>
              <w:top w:val="nil"/>
              <w:left w:val="nil"/>
              <w:bottom w:val="nil"/>
              <w:right w:val="nil"/>
            </w:tcBorders>
          </w:tcPr>
          <w:p w14:paraId="03A06D44"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5.063*</w:t>
            </w:r>
          </w:p>
        </w:tc>
        <w:tc>
          <w:tcPr>
            <w:tcW w:w="473" w:type="pct"/>
            <w:tcBorders>
              <w:top w:val="nil"/>
              <w:left w:val="nil"/>
              <w:bottom w:val="nil"/>
              <w:right w:val="nil"/>
            </w:tcBorders>
          </w:tcPr>
          <w:p w14:paraId="3C8C7683"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0.904***</w:t>
            </w:r>
          </w:p>
        </w:tc>
        <w:tc>
          <w:tcPr>
            <w:tcW w:w="473" w:type="pct"/>
            <w:tcBorders>
              <w:top w:val="nil"/>
              <w:left w:val="nil"/>
              <w:bottom w:val="nil"/>
              <w:right w:val="nil"/>
            </w:tcBorders>
          </w:tcPr>
          <w:p w14:paraId="73AB4AE4"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0D64FBBA" w14:textId="77777777" w:rsidR="00315077" w:rsidRPr="00C505B1" w:rsidRDefault="00315077" w:rsidP="00315077">
            <w:pPr>
              <w:widowControl w:val="0"/>
              <w:autoSpaceDE w:val="0"/>
              <w:autoSpaceDN w:val="0"/>
              <w:adjustRightInd w:val="0"/>
              <w:jc w:val="center"/>
              <w:rPr>
                <w:sz w:val="20"/>
                <w:szCs w:val="20"/>
              </w:rPr>
            </w:pPr>
          </w:p>
        </w:tc>
      </w:tr>
      <w:tr w:rsidR="00315077" w:rsidRPr="00C505B1" w14:paraId="429878D0" w14:textId="77777777" w:rsidTr="00315077">
        <w:trPr>
          <w:jc w:val="center"/>
        </w:trPr>
        <w:tc>
          <w:tcPr>
            <w:tcW w:w="1215" w:type="pct"/>
            <w:tcBorders>
              <w:top w:val="nil"/>
              <w:left w:val="nil"/>
              <w:bottom w:val="nil"/>
              <w:right w:val="nil"/>
            </w:tcBorders>
          </w:tcPr>
          <w:p w14:paraId="54392369" w14:textId="77777777" w:rsidR="00315077" w:rsidRPr="00C505B1" w:rsidRDefault="00315077" w:rsidP="00315077">
            <w:pPr>
              <w:widowControl w:val="0"/>
              <w:autoSpaceDE w:val="0"/>
              <w:autoSpaceDN w:val="0"/>
              <w:adjustRightInd w:val="0"/>
              <w:rPr>
                <w:sz w:val="20"/>
                <w:szCs w:val="20"/>
              </w:rPr>
            </w:pPr>
          </w:p>
        </w:tc>
        <w:tc>
          <w:tcPr>
            <w:tcW w:w="473" w:type="pct"/>
            <w:tcBorders>
              <w:top w:val="nil"/>
              <w:left w:val="nil"/>
              <w:bottom w:val="nil"/>
              <w:right w:val="nil"/>
            </w:tcBorders>
          </w:tcPr>
          <w:p w14:paraId="2F105E12"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21F593BC"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653159CD"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314F0AC1"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(0.256)</w:t>
            </w:r>
          </w:p>
        </w:tc>
        <w:tc>
          <w:tcPr>
            <w:tcW w:w="473" w:type="pct"/>
            <w:tcBorders>
              <w:top w:val="nil"/>
              <w:left w:val="nil"/>
              <w:bottom w:val="nil"/>
              <w:right w:val="nil"/>
            </w:tcBorders>
          </w:tcPr>
          <w:p w14:paraId="405C5C90"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(3.071)</w:t>
            </w:r>
          </w:p>
        </w:tc>
        <w:tc>
          <w:tcPr>
            <w:tcW w:w="473" w:type="pct"/>
            <w:tcBorders>
              <w:top w:val="nil"/>
              <w:left w:val="nil"/>
              <w:bottom w:val="nil"/>
              <w:right w:val="nil"/>
            </w:tcBorders>
          </w:tcPr>
          <w:p w14:paraId="3257E0F9"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(0.246)</w:t>
            </w:r>
          </w:p>
        </w:tc>
        <w:tc>
          <w:tcPr>
            <w:tcW w:w="473" w:type="pct"/>
            <w:tcBorders>
              <w:top w:val="nil"/>
              <w:left w:val="nil"/>
              <w:bottom w:val="nil"/>
              <w:right w:val="nil"/>
            </w:tcBorders>
          </w:tcPr>
          <w:p w14:paraId="705E7012"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71FE448B" w14:textId="77777777" w:rsidR="00315077" w:rsidRPr="00C505B1" w:rsidRDefault="00315077" w:rsidP="00315077">
            <w:pPr>
              <w:widowControl w:val="0"/>
              <w:autoSpaceDE w:val="0"/>
              <w:autoSpaceDN w:val="0"/>
              <w:adjustRightInd w:val="0"/>
              <w:jc w:val="center"/>
              <w:rPr>
                <w:sz w:val="20"/>
                <w:szCs w:val="20"/>
              </w:rPr>
            </w:pPr>
          </w:p>
        </w:tc>
      </w:tr>
      <w:tr w:rsidR="00315077" w:rsidRPr="00C505B1" w14:paraId="59B2B646" w14:textId="77777777" w:rsidTr="00315077">
        <w:trPr>
          <w:jc w:val="center"/>
        </w:trPr>
        <w:tc>
          <w:tcPr>
            <w:tcW w:w="1215" w:type="pct"/>
            <w:tcBorders>
              <w:top w:val="nil"/>
              <w:left w:val="nil"/>
              <w:bottom w:val="nil"/>
              <w:right w:val="nil"/>
            </w:tcBorders>
          </w:tcPr>
          <w:p w14:paraId="6E5FA830" w14:textId="77777777" w:rsidR="00315077" w:rsidRPr="00C505B1" w:rsidRDefault="00315077" w:rsidP="00315077">
            <w:pPr>
              <w:widowControl w:val="0"/>
              <w:autoSpaceDE w:val="0"/>
              <w:autoSpaceDN w:val="0"/>
              <w:adjustRightInd w:val="0"/>
              <w:rPr>
                <w:sz w:val="20"/>
                <w:szCs w:val="20"/>
              </w:rPr>
            </w:pPr>
            <w:r w:rsidRPr="00C505B1">
              <w:rPr>
                <w:sz w:val="20"/>
                <w:szCs w:val="20"/>
              </w:rPr>
              <w:t>ROA (Diff) X ROA (Diff)</w:t>
            </w:r>
          </w:p>
        </w:tc>
        <w:tc>
          <w:tcPr>
            <w:tcW w:w="473" w:type="pct"/>
            <w:tcBorders>
              <w:top w:val="nil"/>
              <w:left w:val="nil"/>
              <w:bottom w:val="nil"/>
              <w:right w:val="nil"/>
            </w:tcBorders>
          </w:tcPr>
          <w:p w14:paraId="66C43777"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1090BE27"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1BDBA38E"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541E39B4"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-0.221</w:t>
            </w:r>
          </w:p>
        </w:tc>
        <w:tc>
          <w:tcPr>
            <w:tcW w:w="473" w:type="pct"/>
            <w:tcBorders>
              <w:top w:val="nil"/>
              <w:left w:val="nil"/>
              <w:bottom w:val="nil"/>
              <w:right w:val="nil"/>
            </w:tcBorders>
          </w:tcPr>
          <w:p w14:paraId="2698944C"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467DDC49"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6578AA98"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61356D65" w14:textId="77777777" w:rsidR="00315077" w:rsidRPr="00C505B1" w:rsidRDefault="00315077" w:rsidP="00315077">
            <w:pPr>
              <w:widowControl w:val="0"/>
              <w:autoSpaceDE w:val="0"/>
              <w:autoSpaceDN w:val="0"/>
              <w:adjustRightInd w:val="0"/>
              <w:jc w:val="center"/>
              <w:rPr>
                <w:sz w:val="20"/>
                <w:szCs w:val="20"/>
              </w:rPr>
            </w:pPr>
          </w:p>
        </w:tc>
      </w:tr>
      <w:tr w:rsidR="00315077" w:rsidRPr="00C505B1" w14:paraId="1639A74E" w14:textId="77777777" w:rsidTr="00315077">
        <w:trPr>
          <w:jc w:val="center"/>
        </w:trPr>
        <w:tc>
          <w:tcPr>
            <w:tcW w:w="1215" w:type="pct"/>
            <w:tcBorders>
              <w:top w:val="nil"/>
              <w:left w:val="nil"/>
              <w:bottom w:val="nil"/>
              <w:right w:val="nil"/>
            </w:tcBorders>
          </w:tcPr>
          <w:p w14:paraId="38077B90" w14:textId="77777777" w:rsidR="00315077" w:rsidRPr="00C505B1" w:rsidRDefault="00315077" w:rsidP="00315077">
            <w:pPr>
              <w:widowControl w:val="0"/>
              <w:autoSpaceDE w:val="0"/>
              <w:autoSpaceDN w:val="0"/>
              <w:adjustRightInd w:val="0"/>
              <w:rPr>
                <w:sz w:val="20"/>
                <w:szCs w:val="20"/>
              </w:rPr>
            </w:pPr>
          </w:p>
        </w:tc>
        <w:tc>
          <w:tcPr>
            <w:tcW w:w="473" w:type="pct"/>
            <w:tcBorders>
              <w:top w:val="nil"/>
              <w:left w:val="nil"/>
              <w:bottom w:val="nil"/>
              <w:right w:val="nil"/>
            </w:tcBorders>
          </w:tcPr>
          <w:p w14:paraId="121C1EE1"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5BD94FDD"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3AD9BEFB"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4E807A06"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(0.162)</w:t>
            </w:r>
          </w:p>
        </w:tc>
        <w:tc>
          <w:tcPr>
            <w:tcW w:w="473" w:type="pct"/>
            <w:tcBorders>
              <w:top w:val="nil"/>
              <w:left w:val="nil"/>
              <w:bottom w:val="nil"/>
              <w:right w:val="nil"/>
            </w:tcBorders>
          </w:tcPr>
          <w:p w14:paraId="31D62607"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7F7D98F4"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1061D49C"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142623D7" w14:textId="77777777" w:rsidR="00315077" w:rsidRPr="00C505B1" w:rsidRDefault="00315077" w:rsidP="00315077">
            <w:pPr>
              <w:widowControl w:val="0"/>
              <w:autoSpaceDE w:val="0"/>
              <w:autoSpaceDN w:val="0"/>
              <w:adjustRightInd w:val="0"/>
              <w:jc w:val="center"/>
              <w:rPr>
                <w:sz w:val="20"/>
                <w:szCs w:val="20"/>
              </w:rPr>
            </w:pPr>
          </w:p>
        </w:tc>
      </w:tr>
      <w:tr w:rsidR="00315077" w:rsidRPr="00C505B1" w14:paraId="60B55056" w14:textId="77777777" w:rsidTr="00315077">
        <w:trPr>
          <w:jc w:val="center"/>
        </w:trPr>
        <w:tc>
          <w:tcPr>
            <w:tcW w:w="1215" w:type="pct"/>
            <w:tcBorders>
              <w:top w:val="nil"/>
              <w:left w:val="nil"/>
              <w:bottom w:val="nil"/>
              <w:right w:val="nil"/>
            </w:tcBorders>
          </w:tcPr>
          <w:p w14:paraId="3CD417A7" w14:textId="77777777" w:rsidR="00315077" w:rsidRPr="00C505B1" w:rsidRDefault="00315077" w:rsidP="00315077">
            <w:pPr>
              <w:widowControl w:val="0"/>
              <w:autoSpaceDE w:val="0"/>
              <w:autoSpaceDN w:val="0"/>
              <w:adjustRightInd w:val="0"/>
              <w:rPr>
                <w:sz w:val="20"/>
                <w:szCs w:val="20"/>
              </w:rPr>
            </w:pPr>
            <w:r w:rsidRPr="00C505B1">
              <w:rPr>
                <w:sz w:val="20"/>
                <w:szCs w:val="20"/>
              </w:rPr>
              <w:t>ROA (Diff) X Age</w:t>
            </w:r>
          </w:p>
        </w:tc>
        <w:tc>
          <w:tcPr>
            <w:tcW w:w="473" w:type="pct"/>
            <w:tcBorders>
              <w:top w:val="nil"/>
              <w:left w:val="nil"/>
              <w:bottom w:val="nil"/>
              <w:right w:val="nil"/>
            </w:tcBorders>
          </w:tcPr>
          <w:p w14:paraId="2F9C43FA"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18E88D4A"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2C80FD97"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6B8D5C0D"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29114287"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-0.0785</w:t>
            </w:r>
          </w:p>
        </w:tc>
        <w:tc>
          <w:tcPr>
            <w:tcW w:w="473" w:type="pct"/>
            <w:tcBorders>
              <w:top w:val="nil"/>
              <w:left w:val="nil"/>
              <w:bottom w:val="nil"/>
              <w:right w:val="nil"/>
            </w:tcBorders>
          </w:tcPr>
          <w:p w14:paraId="16320CC9"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19214966"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2D098162" w14:textId="77777777" w:rsidR="00315077" w:rsidRPr="00C505B1" w:rsidRDefault="00315077" w:rsidP="00315077">
            <w:pPr>
              <w:widowControl w:val="0"/>
              <w:autoSpaceDE w:val="0"/>
              <w:autoSpaceDN w:val="0"/>
              <w:adjustRightInd w:val="0"/>
              <w:jc w:val="center"/>
              <w:rPr>
                <w:sz w:val="20"/>
                <w:szCs w:val="20"/>
              </w:rPr>
            </w:pPr>
          </w:p>
        </w:tc>
      </w:tr>
      <w:tr w:rsidR="00315077" w:rsidRPr="00C505B1" w14:paraId="69D61E6C" w14:textId="77777777" w:rsidTr="00315077">
        <w:trPr>
          <w:jc w:val="center"/>
        </w:trPr>
        <w:tc>
          <w:tcPr>
            <w:tcW w:w="1215" w:type="pct"/>
            <w:tcBorders>
              <w:top w:val="nil"/>
              <w:left w:val="nil"/>
              <w:bottom w:val="nil"/>
              <w:right w:val="nil"/>
            </w:tcBorders>
          </w:tcPr>
          <w:p w14:paraId="26D7D4E0" w14:textId="77777777" w:rsidR="00315077" w:rsidRPr="00C505B1" w:rsidRDefault="00315077" w:rsidP="00315077">
            <w:pPr>
              <w:widowControl w:val="0"/>
              <w:autoSpaceDE w:val="0"/>
              <w:autoSpaceDN w:val="0"/>
              <w:adjustRightInd w:val="0"/>
              <w:rPr>
                <w:sz w:val="20"/>
                <w:szCs w:val="20"/>
              </w:rPr>
            </w:pPr>
          </w:p>
        </w:tc>
        <w:tc>
          <w:tcPr>
            <w:tcW w:w="473" w:type="pct"/>
            <w:tcBorders>
              <w:top w:val="nil"/>
              <w:left w:val="nil"/>
              <w:bottom w:val="nil"/>
              <w:right w:val="nil"/>
            </w:tcBorders>
          </w:tcPr>
          <w:p w14:paraId="410E62DA"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5FF317FD"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0BEC3A1A"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007DAE39"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70916BB7"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(0.0558)</w:t>
            </w:r>
          </w:p>
        </w:tc>
        <w:tc>
          <w:tcPr>
            <w:tcW w:w="473" w:type="pct"/>
            <w:tcBorders>
              <w:top w:val="nil"/>
              <w:left w:val="nil"/>
              <w:bottom w:val="nil"/>
              <w:right w:val="nil"/>
            </w:tcBorders>
          </w:tcPr>
          <w:p w14:paraId="15DE2F5D"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07CBC6C0"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2F945D90" w14:textId="77777777" w:rsidR="00315077" w:rsidRPr="00C505B1" w:rsidRDefault="00315077" w:rsidP="00315077">
            <w:pPr>
              <w:widowControl w:val="0"/>
              <w:autoSpaceDE w:val="0"/>
              <w:autoSpaceDN w:val="0"/>
              <w:adjustRightInd w:val="0"/>
              <w:jc w:val="center"/>
              <w:rPr>
                <w:sz w:val="20"/>
                <w:szCs w:val="20"/>
              </w:rPr>
            </w:pPr>
          </w:p>
        </w:tc>
      </w:tr>
      <w:tr w:rsidR="00315077" w:rsidRPr="00C505B1" w14:paraId="33D132CF" w14:textId="77777777" w:rsidTr="00315077">
        <w:trPr>
          <w:jc w:val="center"/>
        </w:trPr>
        <w:tc>
          <w:tcPr>
            <w:tcW w:w="1215" w:type="pct"/>
            <w:tcBorders>
              <w:top w:val="nil"/>
              <w:left w:val="nil"/>
              <w:bottom w:val="nil"/>
              <w:right w:val="nil"/>
            </w:tcBorders>
          </w:tcPr>
          <w:p w14:paraId="565A0F84" w14:textId="77777777" w:rsidR="00315077" w:rsidRPr="00C505B1" w:rsidRDefault="00315077" w:rsidP="00315077">
            <w:pPr>
              <w:widowControl w:val="0"/>
              <w:autoSpaceDE w:val="0"/>
              <w:autoSpaceDN w:val="0"/>
              <w:adjustRightInd w:val="0"/>
              <w:rPr>
                <w:sz w:val="20"/>
                <w:szCs w:val="20"/>
              </w:rPr>
            </w:pPr>
            <w:r w:rsidRPr="00C505B1">
              <w:rPr>
                <w:sz w:val="20"/>
                <w:szCs w:val="20"/>
              </w:rPr>
              <w:t>ROA (Diff) X Above Retirement</w:t>
            </w:r>
          </w:p>
        </w:tc>
        <w:tc>
          <w:tcPr>
            <w:tcW w:w="473" w:type="pct"/>
            <w:tcBorders>
              <w:top w:val="nil"/>
              <w:left w:val="nil"/>
              <w:bottom w:val="nil"/>
              <w:right w:val="nil"/>
            </w:tcBorders>
          </w:tcPr>
          <w:p w14:paraId="58122593"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4B386473"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4D7266C5"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38DD68FC"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21116816"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33D2D3FB"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-0.949</w:t>
            </w:r>
          </w:p>
        </w:tc>
        <w:tc>
          <w:tcPr>
            <w:tcW w:w="473" w:type="pct"/>
            <w:tcBorders>
              <w:top w:val="nil"/>
              <w:left w:val="nil"/>
              <w:bottom w:val="nil"/>
              <w:right w:val="nil"/>
            </w:tcBorders>
          </w:tcPr>
          <w:p w14:paraId="3A1B22AB"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3E0DD5D5" w14:textId="77777777" w:rsidR="00315077" w:rsidRPr="00C505B1" w:rsidRDefault="00315077" w:rsidP="00315077">
            <w:pPr>
              <w:widowControl w:val="0"/>
              <w:autoSpaceDE w:val="0"/>
              <w:autoSpaceDN w:val="0"/>
              <w:adjustRightInd w:val="0"/>
              <w:jc w:val="center"/>
              <w:rPr>
                <w:sz w:val="20"/>
                <w:szCs w:val="20"/>
              </w:rPr>
            </w:pPr>
          </w:p>
        </w:tc>
      </w:tr>
      <w:tr w:rsidR="00315077" w:rsidRPr="00C505B1" w14:paraId="50FBB6A7" w14:textId="77777777" w:rsidTr="00315077">
        <w:trPr>
          <w:jc w:val="center"/>
        </w:trPr>
        <w:tc>
          <w:tcPr>
            <w:tcW w:w="1215" w:type="pct"/>
            <w:tcBorders>
              <w:top w:val="nil"/>
              <w:left w:val="nil"/>
              <w:bottom w:val="nil"/>
              <w:right w:val="nil"/>
            </w:tcBorders>
          </w:tcPr>
          <w:p w14:paraId="7B96EE49" w14:textId="77777777" w:rsidR="00315077" w:rsidRPr="00C505B1" w:rsidRDefault="00315077" w:rsidP="00315077">
            <w:pPr>
              <w:widowControl w:val="0"/>
              <w:autoSpaceDE w:val="0"/>
              <w:autoSpaceDN w:val="0"/>
              <w:adjustRightInd w:val="0"/>
              <w:rPr>
                <w:sz w:val="20"/>
                <w:szCs w:val="20"/>
              </w:rPr>
            </w:pPr>
          </w:p>
        </w:tc>
        <w:tc>
          <w:tcPr>
            <w:tcW w:w="473" w:type="pct"/>
            <w:tcBorders>
              <w:top w:val="nil"/>
              <w:left w:val="nil"/>
              <w:bottom w:val="nil"/>
              <w:right w:val="nil"/>
            </w:tcBorders>
          </w:tcPr>
          <w:p w14:paraId="68406479"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095B5CD6"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11054048"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117FC906"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6E4FADDD"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01CDEA74"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(0.593)</w:t>
            </w:r>
          </w:p>
        </w:tc>
        <w:tc>
          <w:tcPr>
            <w:tcW w:w="473" w:type="pct"/>
            <w:tcBorders>
              <w:top w:val="nil"/>
              <w:left w:val="nil"/>
              <w:bottom w:val="nil"/>
              <w:right w:val="nil"/>
            </w:tcBorders>
          </w:tcPr>
          <w:p w14:paraId="53A81EA9"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73AD0DEA" w14:textId="77777777" w:rsidR="00315077" w:rsidRPr="00C505B1" w:rsidRDefault="00315077" w:rsidP="00315077">
            <w:pPr>
              <w:widowControl w:val="0"/>
              <w:autoSpaceDE w:val="0"/>
              <w:autoSpaceDN w:val="0"/>
              <w:adjustRightInd w:val="0"/>
              <w:jc w:val="center"/>
              <w:rPr>
                <w:sz w:val="20"/>
                <w:szCs w:val="20"/>
              </w:rPr>
            </w:pPr>
          </w:p>
        </w:tc>
      </w:tr>
      <w:tr w:rsidR="00315077" w:rsidRPr="00C505B1" w14:paraId="0F485756" w14:textId="77777777" w:rsidTr="00315077">
        <w:trPr>
          <w:jc w:val="center"/>
        </w:trPr>
        <w:tc>
          <w:tcPr>
            <w:tcW w:w="1215" w:type="pct"/>
            <w:tcBorders>
              <w:top w:val="nil"/>
              <w:left w:val="nil"/>
              <w:bottom w:val="nil"/>
              <w:right w:val="nil"/>
            </w:tcBorders>
          </w:tcPr>
          <w:p w14:paraId="639B0D31" w14:textId="77777777" w:rsidR="00315077" w:rsidRPr="00C505B1" w:rsidRDefault="00315077" w:rsidP="00315077">
            <w:pPr>
              <w:widowControl w:val="0"/>
              <w:autoSpaceDE w:val="0"/>
              <w:autoSpaceDN w:val="0"/>
              <w:adjustRightInd w:val="0"/>
              <w:rPr>
                <w:sz w:val="20"/>
                <w:szCs w:val="20"/>
              </w:rPr>
            </w:pPr>
            <w:r w:rsidRPr="00C505B1">
              <w:rPr>
                <w:sz w:val="20"/>
                <w:szCs w:val="20"/>
              </w:rPr>
              <w:t>ROA (Diff, negative)</w:t>
            </w:r>
          </w:p>
        </w:tc>
        <w:tc>
          <w:tcPr>
            <w:tcW w:w="473" w:type="pct"/>
            <w:tcBorders>
              <w:top w:val="nil"/>
              <w:left w:val="nil"/>
              <w:bottom w:val="nil"/>
              <w:right w:val="nil"/>
            </w:tcBorders>
          </w:tcPr>
          <w:p w14:paraId="4E55F98D"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53536D83"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429D2BE2"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22A94928"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53684505"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622CA136"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653190FF"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-0.436*</w:t>
            </w:r>
          </w:p>
        </w:tc>
        <w:tc>
          <w:tcPr>
            <w:tcW w:w="473" w:type="pct"/>
            <w:tcBorders>
              <w:top w:val="nil"/>
              <w:left w:val="nil"/>
              <w:bottom w:val="nil"/>
              <w:right w:val="nil"/>
            </w:tcBorders>
          </w:tcPr>
          <w:p w14:paraId="3994748F"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-0.756*</w:t>
            </w:r>
          </w:p>
        </w:tc>
      </w:tr>
      <w:tr w:rsidR="00315077" w:rsidRPr="00C505B1" w14:paraId="6AB89A4A" w14:textId="77777777" w:rsidTr="00315077">
        <w:trPr>
          <w:jc w:val="center"/>
        </w:trPr>
        <w:tc>
          <w:tcPr>
            <w:tcW w:w="1215" w:type="pct"/>
            <w:tcBorders>
              <w:top w:val="nil"/>
              <w:left w:val="nil"/>
              <w:bottom w:val="nil"/>
              <w:right w:val="nil"/>
            </w:tcBorders>
          </w:tcPr>
          <w:p w14:paraId="654B395C" w14:textId="77777777" w:rsidR="00315077" w:rsidRPr="00C505B1" w:rsidRDefault="00315077" w:rsidP="00315077">
            <w:pPr>
              <w:widowControl w:val="0"/>
              <w:autoSpaceDE w:val="0"/>
              <w:autoSpaceDN w:val="0"/>
              <w:adjustRightInd w:val="0"/>
              <w:rPr>
                <w:sz w:val="20"/>
                <w:szCs w:val="20"/>
              </w:rPr>
            </w:pPr>
          </w:p>
        </w:tc>
        <w:tc>
          <w:tcPr>
            <w:tcW w:w="473" w:type="pct"/>
            <w:tcBorders>
              <w:top w:val="nil"/>
              <w:left w:val="nil"/>
              <w:bottom w:val="nil"/>
              <w:right w:val="nil"/>
            </w:tcBorders>
          </w:tcPr>
          <w:p w14:paraId="11E46454"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01E99F32"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7A8CE8DF"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0ACEBD8F"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384ADBCF"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2ADF6B44"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5822EC17"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(0.243)</w:t>
            </w:r>
          </w:p>
        </w:tc>
        <w:tc>
          <w:tcPr>
            <w:tcW w:w="473" w:type="pct"/>
            <w:tcBorders>
              <w:top w:val="nil"/>
              <w:left w:val="nil"/>
              <w:bottom w:val="nil"/>
              <w:right w:val="nil"/>
            </w:tcBorders>
          </w:tcPr>
          <w:p w14:paraId="4EC806C5"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(0.387)</w:t>
            </w:r>
          </w:p>
        </w:tc>
      </w:tr>
      <w:tr w:rsidR="00315077" w:rsidRPr="00C505B1" w14:paraId="39ECCC3C" w14:textId="77777777" w:rsidTr="00315077">
        <w:trPr>
          <w:jc w:val="center"/>
        </w:trPr>
        <w:tc>
          <w:tcPr>
            <w:tcW w:w="1215" w:type="pct"/>
            <w:tcBorders>
              <w:top w:val="nil"/>
              <w:left w:val="nil"/>
              <w:bottom w:val="nil"/>
              <w:right w:val="nil"/>
            </w:tcBorders>
          </w:tcPr>
          <w:p w14:paraId="47040A35" w14:textId="77777777" w:rsidR="00315077" w:rsidRPr="00C505B1" w:rsidRDefault="00315077" w:rsidP="00315077">
            <w:pPr>
              <w:widowControl w:val="0"/>
              <w:autoSpaceDE w:val="0"/>
              <w:autoSpaceDN w:val="0"/>
              <w:adjustRightInd w:val="0"/>
              <w:rPr>
                <w:sz w:val="20"/>
                <w:szCs w:val="20"/>
              </w:rPr>
            </w:pPr>
            <w:r w:rsidRPr="00C505B1">
              <w:rPr>
                <w:sz w:val="20"/>
                <w:szCs w:val="20"/>
              </w:rPr>
              <w:t>ROA (Diff, negative) X Above Retirement</w:t>
            </w:r>
          </w:p>
        </w:tc>
        <w:tc>
          <w:tcPr>
            <w:tcW w:w="473" w:type="pct"/>
            <w:tcBorders>
              <w:top w:val="nil"/>
              <w:left w:val="nil"/>
              <w:bottom w:val="nil"/>
              <w:right w:val="nil"/>
            </w:tcBorders>
          </w:tcPr>
          <w:p w14:paraId="010880BA"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3E3F2182"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16F54C13"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5B743DA8"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156E3E2F"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415456FC"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5B99C714"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357739AF"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0.587</w:t>
            </w:r>
          </w:p>
        </w:tc>
      </w:tr>
      <w:tr w:rsidR="00315077" w:rsidRPr="00C505B1" w14:paraId="7528D7A0" w14:textId="77777777" w:rsidTr="00315077">
        <w:trPr>
          <w:jc w:val="center"/>
        </w:trPr>
        <w:tc>
          <w:tcPr>
            <w:tcW w:w="1215" w:type="pct"/>
            <w:tcBorders>
              <w:top w:val="nil"/>
              <w:left w:val="nil"/>
              <w:bottom w:val="nil"/>
              <w:right w:val="nil"/>
            </w:tcBorders>
          </w:tcPr>
          <w:p w14:paraId="4C63F595" w14:textId="77777777" w:rsidR="00315077" w:rsidRPr="00C505B1" w:rsidRDefault="00315077" w:rsidP="00315077">
            <w:pPr>
              <w:widowControl w:val="0"/>
              <w:autoSpaceDE w:val="0"/>
              <w:autoSpaceDN w:val="0"/>
              <w:adjustRightInd w:val="0"/>
              <w:rPr>
                <w:sz w:val="20"/>
                <w:szCs w:val="20"/>
              </w:rPr>
            </w:pPr>
          </w:p>
        </w:tc>
        <w:tc>
          <w:tcPr>
            <w:tcW w:w="473" w:type="pct"/>
            <w:tcBorders>
              <w:top w:val="nil"/>
              <w:left w:val="nil"/>
              <w:bottom w:val="nil"/>
              <w:right w:val="nil"/>
            </w:tcBorders>
          </w:tcPr>
          <w:p w14:paraId="31D14287"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43F1F003"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33917B0F"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6F2AAB5D"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52FD0279"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4F54C72E"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026A06C8"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3892DCAE"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(0.510)</w:t>
            </w:r>
          </w:p>
        </w:tc>
      </w:tr>
      <w:tr w:rsidR="00315077" w:rsidRPr="00C505B1" w14:paraId="09A4C10E" w14:textId="77777777" w:rsidTr="00315077">
        <w:trPr>
          <w:jc w:val="center"/>
        </w:trPr>
        <w:tc>
          <w:tcPr>
            <w:tcW w:w="1215" w:type="pct"/>
            <w:tcBorders>
              <w:top w:val="nil"/>
              <w:left w:val="nil"/>
              <w:bottom w:val="nil"/>
              <w:right w:val="nil"/>
            </w:tcBorders>
          </w:tcPr>
          <w:p w14:paraId="3AE512DB" w14:textId="77777777" w:rsidR="00315077" w:rsidRPr="00C505B1" w:rsidRDefault="00315077" w:rsidP="00315077">
            <w:pPr>
              <w:widowControl w:val="0"/>
              <w:autoSpaceDE w:val="0"/>
              <w:autoSpaceDN w:val="0"/>
              <w:adjustRightInd w:val="0"/>
              <w:rPr>
                <w:sz w:val="20"/>
                <w:szCs w:val="20"/>
              </w:rPr>
            </w:pPr>
            <w:r w:rsidRPr="00C505B1">
              <w:rPr>
                <w:sz w:val="20"/>
                <w:szCs w:val="20"/>
              </w:rPr>
              <w:t>Above Retirement Age</w:t>
            </w:r>
          </w:p>
        </w:tc>
        <w:tc>
          <w:tcPr>
            <w:tcW w:w="473" w:type="pct"/>
            <w:tcBorders>
              <w:top w:val="nil"/>
              <w:left w:val="nil"/>
              <w:bottom w:val="nil"/>
              <w:right w:val="nil"/>
            </w:tcBorders>
          </w:tcPr>
          <w:p w14:paraId="01112D9C"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0B0F692E"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6942C354"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-0.0809</w:t>
            </w:r>
          </w:p>
        </w:tc>
        <w:tc>
          <w:tcPr>
            <w:tcW w:w="473" w:type="pct"/>
            <w:tcBorders>
              <w:top w:val="nil"/>
              <w:left w:val="nil"/>
              <w:bottom w:val="nil"/>
              <w:right w:val="nil"/>
            </w:tcBorders>
          </w:tcPr>
          <w:p w14:paraId="414C6D02"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2BFEAEB5"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64812C72"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-0.119</w:t>
            </w:r>
          </w:p>
        </w:tc>
        <w:tc>
          <w:tcPr>
            <w:tcW w:w="473" w:type="pct"/>
            <w:tcBorders>
              <w:top w:val="nil"/>
              <w:left w:val="nil"/>
              <w:bottom w:val="nil"/>
              <w:right w:val="nil"/>
            </w:tcBorders>
          </w:tcPr>
          <w:p w14:paraId="4A92F152"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0240C3D0"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-0.415</w:t>
            </w:r>
          </w:p>
        </w:tc>
      </w:tr>
      <w:tr w:rsidR="00315077" w:rsidRPr="00C505B1" w14:paraId="3A5592FC" w14:textId="77777777" w:rsidTr="00315077">
        <w:trPr>
          <w:jc w:val="center"/>
        </w:trPr>
        <w:tc>
          <w:tcPr>
            <w:tcW w:w="1215" w:type="pct"/>
            <w:tcBorders>
              <w:top w:val="nil"/>
              <w:left w:val="nil"/>
              <w:bottom w:val="nil"/>
              <w:right w:val="nil"/>
            </w:tcBorders>
          </w:tcPr>
          <w:p w14:paraId="108EFC4D" w14:textId="77777777" w:rsidR="00315077" w:rsidRPr="00C505B1" w:rsidRDefault="00315077" w:rsidP="00315077">
            <w:pPr>
              <w:widowControl w:val="0"/>
              <w:autoSpaceDE w:val="0"/>
              <w:autoSpaceDN w:val="0"/>
              <w:adjustRightInd w:val="0"/>
              <w:rPr>
                <w:sz w:val="20"/>
                <w:szCs w:val="20"/>
              </w:rPr>
            </w:pPr>
          </w:p>
        </w:tc>
        <w:tc>
          <w:tcPr>
            <w:tcW w:w="473" w:type="pct"/>
            <w:tcBorders>
              <w:top w:val="nil"/>
              <w:left w:val="nil"/>
              <w:bottom w:val="nil"/>
              <w:right w:val="nil"/>
            </w:tcBorders>
          </w:tcPr>
          <w:p w14:paraId="5871C1A5"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1F1EC3ED"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7A4F2952"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(0.440)</w:t>
            </w:r>
          </w:p>
        </w:tc>
        <w:tc>
          <w:tcPr>
            <w:tcW w:w="473" w:type="pct"/>
            <w:tcBorders>
              <w:top w:val="nil"/>
              <w:left w:val="nil"/>
              <w:bottom w:val="nil"/>
              <w:right w:val="nil"/>
            </w:tcBorders>
          </w:tcPr>
          <w:p w14:paraId="49F120E8"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42883055"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7DB314BA"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(0.483)</w:t>
            </w:r>
          </w:p>
        </w:tc>
        <w:tc>
          <w:tcPr>
            <w:tcW w:w="473" w:type="pct"/>
            <w:tcBorders>
              <w:top w:val="nil"/>
              <w:left w:val="nil"/>
              <w:bottom w:val="nil"/>
              <w:right w:val="nil"/>
            </w:tcBorders>
          </w:tcPr>
          <w:p w14:paraId="5A2F1A55"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5C1204F8"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(0.600)</w:t>
            </w:r>
          </w:p>
        </w:tc>
      </w:tr>
      <w:tr w:rsidR="00315077" w:rsidRPr="00C505B1" w14:paraId="67C5BBBD" w14:textId="77777777" w:rsidTr="00315077">
        <w:trPr>
          <w:jc w:val="center"/>
        </w:trPr>
        <w:tc>
          <w:tcPr>
            <w:tcW w:w="1215" w:type="pct"/>
            <w:tcBorders>
              <w:top w:val="nil"/>
              <w:left w:val="nil"/>
              <w:bottom w:val="nil"/>
              <w:right w:val="nil"/>
            </w:tcBorders>
          </w:tcPr>
          <w:p w14:paraId="7FF48ECE" w14:textId="77777777" w:rsidR="00315077" w:rsidRPr="00C505B1" w:rsidRDefault="00315077" w:rsidP="00315077">
            <w:pPr>
              <w:widowControl w:val="0"/>
              <w:autoSpaceDE w:val="0"/>
              <w:autoSpaceDN w:val="0"/>
              <w:adjustRightInd w:val="0"/>
              <w:rPr>
                <w:sz w:val="20"/>
                <w:szCs w:val="20"/>
              </w:rPr>
            </w:pPr>
            <w:r w:rsidRPr="00C505B1">
              <w:rPr>
                <w:sz w:val="20"/>
                <w:szCs w:val="20"/>
              </w:rPr>
              <w:t>Age</w:t>
            </w:r>
          </w:p>
        </w:tc>
        <w:tc>
          <w:tcPr>
            <w:tcW w:w="473" w:type="pct"/>
            <w:tcBorders>
              <w:top w:val="nil"/>
              <w:left w:val="nil"/>
              <w:bottom w:val="nil"/>
              <w:right w:val="nil"/>
            </w:tcBorders>
          </w:tcPr>
          <w:p w14:paraId="64177D0E"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1.925***</w:t>
            </w:r>
          </w:p>
        </w:tc>
        <w:tc>
          <w:tcPr>
            <w:tcW w:w="473" w:type="pct"/>
            <w:tcBorders>
              <w:top w:val="nil"/>
              <w:left w:val="nil"/>
              <w:bottom w:val="nil"/>
              <w:right w:val="nil"/>
            </w:tcBorders>
          </w:tcPr>
          <w:p w14:paraId="7425649D"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1.927***</w:t>
            </w:r>
          </w:p>
        </w:tc>
        <w:tc>
          <w:tcPr>
            <w:tcW w:w="473" w:type="pct"/>
            <w:tcBorders>
              <w:top w:val="nil"/>
              <w:left w:val="nil"/>
              <w:bottom w:val="nil"/>
              <w:right w:val="nil"/>
            </w:tcBorders>
          </w:tcPr>
          <w:p w14:paraId="5991D5C4"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1.876***</w:t>
            </w:r>
          </w:p>
        </w:tc>
        <w:tc>
          <w:tcPr>
            <w:tcW w:w="473" w:type="pct"/>
            <w:tcBorders>
              <w:top w:val="nil"/>
              <w:left w:val="nil"/>
              <w:bottom w:val="nil"/>
              <w:right w:val="nil"/>
            </w:tcBorders>
          </w:tcPr>
          <w:p w14:paraId="4AC2AE6C"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2.112***</w:t>
            </w:r>
          </w:p>
        </w:tc>
        <w:tc>
          <w:tcPr>
            <w:tcW w:w="473" w:type="pct"/>
            <w:tcBorders>
              <w:top w:val="nil"/>
              <w:left w:val="nil"/>
              <w:bottom w:val="nil"/>
              <w:right w:val="nil"/>
            </w:tcBorders>
          </w:tcPr>
          <w:p w14:paraId="29AA467E"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2.059***</w:t>
            </w:r>
          </w:p>
        </w:tc>
        <w:tc>
          <w:tcPr>
            <w:tcW w:w="473" w:type="pct"/>
            <w:tcBorders>
              <w:top w:val="nil"/>
              <w:left w:val="nil"/>
              <w:bottom w:val="nil"/>
              <w:right w:val="nil"/>
            </w:tcBorders>
          </w:tcPr>
          <w:p w14:paraId="045F20C6"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2.099***</w:t>
            </w:r>
          </w:p>
        </w:tc>
        <w:tc>
          <w:tcPr>
            <w:tcW w:w="473" w:type="pct"/>
            <w:tcBorders>
              <w:top w:val="nil"/>
              <w:left w:val="nil"/>
              <w:bottom w:val="nil"/>
              <w:right w:val="nil"/>
            </w:tcBorders>
          </w:tcPr>
          <w:p w14:paraId="50790CF7"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2.015***</w:t>
            </w:r>
          </w:p>
        </w:tc>
        <w:tc>
          <w:tcPr>
            <w:tcW w:w="473" w:type="pct"/>
            <w:tcBorders>
              <w:top w:val="nil"/>
              <w:left w:val="nil"/>
              <w:bottom w:val="nil"/>
              <w:right w:val="nil"/>
            </w:tcBorders>
          </w:tcPr>
          <w:p w14:paraId="4EF3530B"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1.984***</w:t>
            </w:r>
          </w:p>
        </w:tc>
      </w:tr>
      <w:tr w:rsidR="00315077" w:rsidRPr="00C505B1" w14:paraId="52B8B2B1" w14:textId="77777777" w:rsidTr="00315077">
        <w:trPr>
          <w:jc w:val="center"/>
        </w:trPr>
        <w:tc>
          <w:tcPr>
            <w:tcW w:w="1215" w:type="pct"/>
            <w:tcBorders>
              <w:top w:val="nil"/>
              <w:left w:val="nil"/>
              <w:bottom w:val="nil"/>
              <w:right w:val="nil"/>
            </w:tcBorders>
          </w:tcPr>
          <w:p w14:paraId="27C02D55" w14:textId="77777777" w:rsidR="00315077" w:rsidRPr="00C505B1" w:rsidRDefault="00315077" w:rsidP="00315077">
            <w:pPr>
              <w:widowControl w:val="0"/>
              <w:autoSpaceDE w:val="0"/>
              <w:autoSpaceDN w:val="0"/>
              <w:adjustRightInd w:val="0"/>
              <w:rPr>
                <w:sz w:val="20"/>
                <w:szCs w:val="20"/>
              </w:rPr>
            </w:pPr>
          </w:p>
        </w:tc>
        <w:tc>
          <w:tcPr>
            <w:tcW w:w="473" w:type="pct"/>
            <w:tcBorders>
              <w:top w:val="nil"/>
              <w:left w:val="nil"/>
              <w:bottom w:val="nil"/>
              <w:right w:val="nil"/>
            </w:tcBorders>
          </w:tcPr>
          <w:p w14:paraId="1297F065"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(0.387)</w:t>
            </w:r>
          </w:p>
        </w:tc>
        <w:tc>
          <w:tcPr>
            <w:tcW w:w="473" w:type="pct"/>
            <w:tcBorders>
              <w:top w:val="nil"/>
              <w:left w:val="nil"/>
              <w:bottom w:val="nil"/>
              <w:right w:val="nil"/>
            </w:tcBorders>
          </w:tcPr>
          <w:p w14:paraId="69EE1659"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(0.390)</w:t>
            </w:r>
          </w:p>
        </w:tc>
        <w:tc>
          <w:tcPr>
            <w:tcW w:w="473" w:type="pct"/>
            <w:tcBorders>
              <w:top w:val="nil"/>
              <w:left w:val="nil"/>
              <w:bottom w:val="nil"/>
              <w:right w:val="nil"/>
            </w:tcBorders>
          </w:tcPr>
          <w:p w14:paraId="6DDC555B"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(0.518)</w:t>
            </w:r>
          </w:p>
        </w:tc>
        <w:tc>
          <w:tcPr>
            <w:tcW w:w="473" w:type="pct"/>
            <w:tcBorders>
              <w:top w:val="nil"/>
              <w:left w:val="nil"/>
              <w:bottom w:val="nil"/>
              <w:right w:val="nil"/>
            </w:tcBorders>
          </w:tcPr>
          <w:p w14:paraId="38C37C05"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(0.468)</w:t>
            </w:r>
          </w:p>
        </w:tc>
        <w:tc>
          <w:tcPr>
            <w:tcW w:w="473" w:type="pct"/>
            <w:tcBorders>
              <w:top w:val="nil"/>
              <w:left w:val="nil"/>
              <w:bottom w:val="nil"/>
              <w:right w:val="nil"/>
            </w:tcBorders>
          </w:tcPr>
          <w:p w14:paraId="3E799E50"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(0.469)</w:t>
            </w:r>
          </w:p>
        </w:tc>
        <w:tc>
          <w:tcPr>
            <w:tcW w:w="473" w:type="pct"/>
            <w:tcBorders>
              <w:top w:val="nil"/>
              <w:left w:val="nil"/>
              <w:bottom w:val="nil"/>
              <w:right w:val="nil"/>
            </w:tcBorders>
          </w:tcPr>
          <w:p w14:paraId="5ABB3C60"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(0.623)</w:t>
            </w:r>
          </w:p>
        </w:tc>
        <w:tc>
          <w:tcPr>
            <w:tcW w:w="473" w:type="pct"/>
            <w:tcBorders>
              <w:top w:val="nil"/>
              <w:left w:val="nil"/>
              <w:bottom w:val="nil"/>
              <w:right w:val="nil"/>
            </w:tcBorders>
          </w:tcPr>
          <w:p w14:paraId="5C081C7E"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(0.469)</w:t>
            </w:r>
          </w:p>
        </w:tc>
        <w:tc>
          <w:tcPr>
            <w:tcW w:w="473" w:type="pct"/>
            <w:tcBorders>
              <w:top w:val="nil"/>
              <w:left w:val="nil"/>
              <w:bottom w:val="nil"/>
              <w:right w:val="nil"/>
            </w:tcBorders>
          </w:tcPr>
          <w:p w14:paraId="3E3A0403"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(0.625)</w:t>
            </w:r>
          </w:p>
        </w:tc>
      </w:tr>
      <w:tr w:rsidR="00315077" w:rsidRPr="00C505B1" w14:paraId="4777C689" w14:textId="77777777" w:rsidTr="00315077">
        <w:trPr>
          <w:jc w:val="center"/>
        </w:trPr>
        <w:tc>
          <w:tcPr>
            <w:tcW w:w="1215" w:type="pct"/>
            <w:tcBorders>
              <w:top w:val="nil"/>
              <w:left w:val="nil"/>
              <w:bottom w:val="nil"/>
              <w:right w:val="nil"/>
            </w:tcBorders>
          </w:tcPr>
          <w:p w14:paraId="12AC14B5" w14:textId="77777777" w:rsidR="00315077" w:rsidRPr="00C505B1" w:rsidRDefault="00315077" w:rsidP="00315077">
            <w:pPr>
              <w:widowControl w:val="0"/>
              <w:autoSpaceDE w:val="0"/>
              <w:autoSpaceDN w:val="0"/>
              <w:adjustRightInd w:val="0"/>
              <w:rPr>
                <w:sz w:val="20"/>
                <w:szCs w:val="20"/>
              </w:rPr>
            </w:pPr>
          </w:p>
        </w:tc>
        <w:tc>
          <w:tcPr>
            <w:tcW w:w="473" w:type="pct"/>
            <w:tcBorders>
              <w:top w:val="nil"/>
              <w:left w:val="nil"/>
              <w:bottom w:val="nil"/>
              <w:right w:val="nil"/>
            </w:tcBorders>
          </w:tcPr>
          <w:p w14:paraId="6EA32683"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040969BA"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7829BB0A"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73F970DB"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436B7612"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0C9D7BC4"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10A1BEE9" w14:textId="77777777" w:rsidR="00315077" w:rsidRPr="00C505B1" w:rsidRDefault="00315077" w:rsidP="00315077">
            <w:pPr>
              <w:widowControl w:val="0"/>
              <w:autoSpaceDE w:val="0"/>
              <w:autoSpaceDN w:val="0"/>
              <w:adjustRightInd w:val="0"/>
              <w:jc w:val="center"/>
              <w:rPr>
                <w:sz w:val="20"/>
                <w:szCs w:val="20"/>
              </w:rPr>
            </w:pPr>
          </w:p>
        </w:tc>
        <w:tc>
          <w:tcPr>
            <w:tcW w:w="473" w:type="pct"/>
            <w:tcBorders>
              <w:top w:val="nil"/>
              <w:left w:val="nil"/>
              <w:bottom w:val="nil"/>
              <w:right w:val="nil"/>
            </w:tcBorders>
          </w:tcPr>
          <w:p w14:paraId="2825A6AB" w14:textId="77777777" w:rsidR="00315077" w:rsidRPr="00C505B1" w:rsidRDefault="00315077" w:rsidP="00315077">
            <w:pPr>
              <w:widowControl w:val="0"/>
              <w:autoSpaceDE w:val="0"/>
              <w:autoSpaceDN w:val="0"/>
              <w:adjustRightInd w:val="0"/>
              <w:jc w:val="center"/>
              <w:rPr>
                <w:sz w:val="20"/>
                <w:szCs w:val="20"/>
              </w:rPr>
            </w:pPr>
          </w:p>
        </w:tc>
      </w:tr>
      <w:tr w:rsidR="00315077" w:rsidRPr="00C505B1" w14:paraId="117195D8" w14:textId="77777777" w:rsidTr="00315077">
        <w:trPr>
          <w:jc w:val="center"/>
        </w:trPr>
        <w:tc>
          <w:tcPr>
            <w:tcW w:w="1215" w:type="pct"/>
            <w:tcBorders>
              <w:top w:val="nil"/>
              <w:left w:val="nil"/>
              <w:bottom w:val="nil"/>
              <w:right w:val="nil"/>
            </w:tcBorders>
          </w:tcPr>
          <w:p w14:paraId="59085C7F" w14:textId="77777777" w:rsidR="00315077" w:rsidRPr="00C505B1" w:rsidRDefault="00315077" w:rsidP="00315077">
            <w:pPr>
              <w:widowControl w:val="0"/>
              <w:autoSpaceDE w:val="0"/>
              <w:autoSpaceDN w:val="0"/>
              <w:adjustRightInd w:val="0"/>
              <w:rPr>
                <w:sz w:val="20"/>
                <w:szCs w:val="20"/>
              </w:rPr>
            </w:pPr>
            <w:r w:rsidRPr="00C505B1">
              <w:rPr>
                <w:sz w:val="20"/>
                <w:szCs w:val="20"/>
              </w:rPr>
              <w:t>Observations</w:t>
            </w:r>
          </w:p>
        </w:tc>
        <w:tc>
          <w:tcPr>
            <w:tcW w:w="473" w:type="pct"/>
            <w:tcBorders>
              <w:top w:val="nil"/>
              <w:left w:val="nil"/>
              <w:bottom w:val="nil"/>
              <w:right w:val="nil"/>
            </w:tcBorders>
          </w:tcPr>
          <w:p w14:paraId="30D14F1A"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1,045</w:t>
            </w:r>
          </w:p>
        </w:tc>
        <w:tc>
          <w:tcPr>
            <w:tcW w:w="473" w:type="pct"/>
            <w:tcBorders>
              <w:top w:val="nil"/>
              <w:left w:val="nil"/>
              <w:bottom w:val="nil"/>
              <w:right w:val="nil"/>
            </w:tcBorders>
          </w:tcPr>
          <w:p w14:paraId="68D45F8D"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1,045</w:t>
            </w:r>
          </w:p>
        </w:tc>
        <w:tc>
          <w:tcPr>
            <w:tcW w:w="473" w:type="pct"/>
            <w:tcBorders>
              <w:top w:val="nil"/>
              <w:left w:val="nil"/>
              <w:bottom w:val="nil"/>
              <w:right w:val="nil"/>
            </w:tcBorders>
          </w:tcPr>
          <w:p w14:paraId="36628C86"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1,045</w:t>
            </w:r>
          </w:p>
        </w:tc>
        <w:tc>
          <w:tcPr>
            <w:tcW w:w="473" w:type="pct"/>
            <w:tcBorders>
              <w:top w:val="nil"/>
              <w:left w:val="nil"/>
              <w:bottom w:val="nil"/>
              <w:right w:val="nil"/>
            </w:tcBorders>
          </w:tcPr>
          <w:p w14:paraId="7DB5C485"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826</w:t>
            </w:r>
          </w:p>
        </w:tc>
        <w:tc>
          <w:tcPr>
            <w:tcW w:w="473" w:type="pct"/>
            <w:tcBorders>
              <w:top w:val="nil"/>
              <w:left w:val="nil"/>
              <w:bottom w:val="nil"/>
              <w:right w:val="nil"/>
            </w:tcBorders>
          </w:tcPr>
          <w:p w14:paraId="41412C56"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826</w:t>
            </w:r>
          </w:p>
        </w:tc>
        <w:tc>
          <w:tcPr>
            <w:tcW w:w="473" w:type="pct"/>
            <w:tcBorders>
              <w:top w:val="nil"/>
              <w:left w:val="nil"/>
              <w:bottom w:val="nil"/>
              <w:right w:val="nil"/>
            </w:tcBorders>
          </w:tcPr>
          <w:p w14:paraId="7C4EA931"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826</w:t>
            </w:r>
          </w:p>
        </w:tc>
        <w:tc>
          <w:tcPr>
            <w:tcW w:w="473" w:type="pct"/>
            <w:tcBorders>
              <w:top w:val="nil"/>
              <w:left w:val="nil"/>
              <w:bottom w:val="nil"/>
              <w:right w:val="nil"/>
            </w:tcBorders>
          </w:tcPr>
          <w:p w14:paraId="70BDC7B7"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826</w:t>
            </w:r>
          </w:p>
        </w:tc>
        <w:tc>
          <w:tcPr>
            <w:tcW w:w="473" w:type="pct"/>
            <w:tcBorders>
              <w:top w:val="nil"/>
              <w:left w:val="nil"/>
              <w:bottom w:val="nil"/>
              <w:right w:val="nil"/>
            </w:tcBorders>
          </w:tcPr>
          <w:p w14:paraId="3BA3AEB1"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826</w:t>
            </w:r>
          </w:p>
        </w:tc>
      </w:tr>
      <w:tr w:rsidR="00315077" w:rsidRPr="00C505B1" w14:paraId="0BE6418C" w14:textId="77777777" w:rsidTr="00315077">
        <w:trPr>
          <w:jc w:val="center"/>
        </w:trPr>
        <w:tc>
          <w:tcPr>
            <w:tcW w:w="1215" w:type="pct"/>
            <w:tcBorders>
              <w:top w:val="nil"/>
              <w:left w:val="nil"/>
              <w:bottom w:val="nil"/>
              <w:right w:val="nil"/>
            </w:tcBorders>
          </w:tcPr>
          <w:p w14:paraId="4D8E3544" w14:textId="77777777" w:rsidR="00315077" w:rsidRPr="00C505B1" w:rsidRDefault="00315077" w:rsidP="00315077">
            <w:pPr>
              <w:widowControl w:val="0"/>
              <w:autoSpaceDE w:val="0"/>
              <w:autoSpaceDN w:val="0"/>
              <w:adjustRightInd w:val="0"/>
              <w:rPr>
                <w:sz w:val="20"/>
                <w:szCs w:val="20"/>
              </w:rPr>
            </w:pPr>
            <w:r w:rsidRPr="00C505B1">
              <w:rPr>
                <w:sz w:val="20"/>
                <w:szCs w:val="20"/>
              </w:rPr>
              <w:t>Industry FE</w:t>
            </w:r>
          </w:p>
        </w:tc>
        <w:tc>
          <w:tcPr>
            <w:tcW w:w="473" w:type="pct"/>
            <w:tcBorders>
              <w:top w:val="nil"/>
              <w:left w:val="nil"/>
              <w:bottom w:val="nil"/>
              <w:right w:val="nil"/>
            </w:tcBorders>
          </w:tcPr>
          <w:p w14:paraId="639E5B93"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Yes</w:t>
            </w:r>
          </w:p>
        </w:tc>
        <w:tc>
          <w:tcPr>
            <w:tcW w:w="473" w:type="pct"/>
            <w:tcBorders>
              <w:top w:val="nil"/>
              <w:left w:val="nil"/>
              <w:bottom w:val="nil"/>
              <w:right w:val="nil"/>
            </w:tcBorders>
          </w:tcPr>
          <w:p w14:paraId="4D2C097E"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Yes</w:t>
            </w:r>
          </w:p>
        </w:tc>
        <w:tc>
          <w:tcPr>
            <w:tcW w:w="473" w:type="pct"/>
            <w:tcBorders>
              <w:top w:val="nil"/>
              <w:left w:val="nil"/>
              <w:bottom w:val="nil"/>
              <w:right w:val="nil"/>
            </w:tcBorders>
          </w:tcPr>
          <w:p w14:paraId="2D75009D"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Yes</w:t>
            </w:r>
          </w:p>
        </w:tc>
        <w:tc>
          <w:tcPr>
            <w:tcW w:w="473" w:type="pct"/>
            <w:tcBorders>
              <w:top w:val="nil"/>
              <w:left w:val="nil"/>
              <w:bottom w:val="nil"/>
              <w:right w:val="nil"/>
            </w:tcBorders>
          </w:tcPr>
          <w:p w14:paraId="7CA558B4"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Yes</w:t>
            </w:r>
          </w:p>
        </w:tc>
        <w:tc>
          <w:tcPr>
            <w:tcW w:w="473" w:type="pct"/>
            <w:tcBorders>
              <w:top w:val="nil"/>
              <w:left w:val="nil"/>
              <w:bottom w:val="nil"/>
              <w:right w:val="nil"/>
            </w:tcBorders>
          </w:tcPr>
          <w:p w14:paraId="6E48F124"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Yes</w:t>
            </w:r>
          </w:p>
        </w:tc>
        <w:tc>
          <w:tcPr>
            <w:tcW w:w="473" w:type="pct"/>
            <w:tcBorders>
              <w:top w:val="nil"/>
              <w:left w:val="nil"/>
              <w:bottom w:val="nil"/>
              <w:right w:val="nil"/>
            </w:tcBorders>
          </w:tcPr>
          <w:p w14:paraId="7F57E6BD"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Yes</w:t>
            </w:r>
          </w:p>
        </w:tc>
        <w:tc>
          <w:tcPr>
            <w:tcW w:w="473" w:type="pct"/>
            <w:tcBorders>
              <w:top w:val="nil"/>
              <w:left w:val="nil"/>
              <w:bottom w:val="nil"/>
              <w:right w:val="nil"/>
            </w:tcBorders>
          </w:tcPr>
          <w:p w14:paraId="6A3BD9D1"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Yes</w:t>
            </w:r>
          </w:p>
        </w:tc>
        <w:tc>
          <w:tcPr>
            <w:tcW w:w="473" w:type="pct"/>
            <w:tcBorders>
              <w:top w:val="nil"/>
              <w:left w:val="nil"/>
              <w:bottom w:val="nil"/>
              <w:right w:val="nil"/>
            </w:tcBorders>
          </w:tcPr>
          <w:p w14:paraId="15201C31"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Yes</w:t>
            </w:r>
          </w:p>
        </w:tc>
      </w:tr>
      <w:tr w:rsidR="00315077" w:rsidRPr="00C505B1" w14:paraId="522AFDCD" w14:textId="77777777" w:rsidTr="00315077">
        <w:tblPrEx>
          <w:tblBorders>
            <w:bottom w:val="single" w:sz="6" w:space="0" w:color="auto"/>
          </w:tblBorders>
        </w:tblPrEx>
        <w:trPr>
          <w:jc w:val="center"/>
        </w:trPr>
        <w:tc>
          <w:tcPr>
            <w:tcW w:w="1215" w:type="pct"/>
            <w:tcBorders>
              <w:top w:val="nil"/>
              <w:left w:val="nil"/>
              <w:bottom w:val="single" w:sz="6" w:space="0" w:color="auto"/>
              <w:right w:val="nil"/>
            </w:tcBorders>
          </w:tcPr>
          <w:p w14:paraId="1B6D3EC0" w14:textId="77777777" w:rsidR="00315077" w:rsidRPr="00C505B1" w:rsidRDefault="00315077" w:rsidP="00315077">
            <w:pPr>
              <w:widowControl w:val="0"/>
              <w:autoSpaceDE w:val="0"/>
              <w:autoSpaceDN w:val="0"/>
              <w:adjustRightInd w:val="0"/>
              <w:rPr>
                <w:sz w:val="20"/>
                <w:szCs w:val="20"/>
              </w:rPr>
            </w:pPr>
            <w:r w:rsidRPr="00C505B1">
              <w:rPr>
                <w:sz w:val="20"/>
                <w:szCs w:val="20"/>
              </w:rPr>
              <w:t>Pseudo R2</w:t>
            </w:r>
          </w:p>
        </w:tc>
        <w:tc>
          <w:tcPr>
            <w:tcW w:w="473" w:type="pct"/>
            <w:tcBorders>
              <w:top w:val="nil"/>
              <w:left w:val="nil"/>
              <w:bottom w:val="single" w:sz="6" w:space="0" w:color="auto"/>
              <w:right w:val="nil"/>
            </w:tcBorders>
          </w:tcPr>
          <w:p w14:paraId="490D09A4"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0.240</w:t>
            </w:r>
          </w:p>
        </w:tc>
        <w:tc>
          <w:tcPr>
            <w:tcW w:w="473" w:type="pct"/>
            <w:tcBorders>
              <w:top w:val="nil"/>
              <w:left w:val="nil"/>
              <w:bottom w:val="single" w:sz="6" w:space="0" w:color="auto"/>
              <w:right w:val="nil"/>
            </w:tcBorders>
          </w:tcPr>
          <w:p w14:paraId="1437B3C5"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0.240</w:t>
            </w:r>
          </w:p>
        </w:tc>
        <w:tc>
          <w:tcPr>
            <w:tcW w:w="473" w:type="pct"/>
            <w:tcBorders>
              <w:top w:val="nil"/>
              <w:left w:val="nil"/>
              <w:bottom w:val="single" w:sz="6" w:space="0" w:color="auto"/>
              <w:right w:val="nil"/>
            </w:tcBorders>
          </w:tcPr>
          <w:p w14:paraId="37F84237"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0.240</w:t>
            </w:r>
          </w:p>
        </w:tc>
        <w:tc>
          <w:tcPr>
            <w:tcW w:w="473" w:type="pct"/>
            <w:tcBorders>
              <w:top w:val="nil"/>
              <w:left w:val="nil"/>
              <w:bottom w:val="single" w:sz="6" w:space="0" w:color="auto"/>
              <w:right w:val="nil"/>
            </w:tcBorders>
          </w:tcPr>
          <w:p w14:paraId="4A1113EB"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0.225</w:t>
            </w:r>
          </w:p>
        </w:tc>
        <w:tc>
          <w:tcPr>
            <w:tcW w:w="473" w:type="pct"/>
            <w:tcBorders>
              <w:top w:val="nil"/>
              <w:left w:val="nil"/>
              <w:bottom w:val="single" w:sz="6" w:space="0" w:color="auto"/>
              <w:right w:val="nil"/>
            </w:tcBorders>
          </w:tcPr>
          <w:p w14:paraId="0C35F358"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0.225</w:t>
            </w:r>
          </w:p>
        </w:tc>
        <w:tc>
          <w:tcPr>
            <w:tcW w:w="473" w:type="pct"/>
            <w:tcBorders>
              <w:top w:val="nil"/>
              <w:left w:val="nil"/>
              <w:bottom w:val="single" w:sz="6" w:space="0" w:color="auto"/>
              <w:right w:val="nil"/>
            </w:tcBorders>
          </w:tcPr>
          <w:p w14:paraId="0CC529B3"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0.227</w:t>
            </w:r>
          </w:p>
        </w:tc>
        <w:tc>
          <w:tcPr>
            <w:tcW w:w="473" w:type="pct"/>
            <w:tcBorders>
              <w:top w:val="nil"/>
              <w:left w:val="nil"/>
              <w:bottom w:val="single" w:sz="6" w:space="0" w:color="auto"/>
              <w:right w:val="nil"/>
            </w:tcBorders>
          </w:tcPr>
          <w:p w14:paraId="02DD6A62"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0.220</w:t>
            </w:r>
          </w:p>
        </w:tc>
        <w:tc>
          <w:tcPr>
            <w:tcW w:w="473" w:type="pct"/>
            <w:tcBorders>
              <w:top w:val="nil"/>
              <w:left w:val="nil"/>
              <w:bottom w:val="single" w:sz="6" w:space="0" w:color="auto"/>
              <w:right w:val="nil"/>
            </w:tcBorders>
          </w:tcPr>
          <w:p w14:paraId="0346E77B" w14:textId="77777777" w:rsidR="00315077" w:rsidRPr="00C505B1" w:rsidRDefault="00315077" w:rsidP="00315077">
            <w:pPr>
              <w:widowControl w:val="0"/>
              <w:autoSpaceDE w:val="0"/>
              <w:autoSpaceDN w:val="0"/>
              <w:adjustRightInd w:val="0"/>
              <w:jc w:val="center"/>
              <w:rPr>
                <w:sz w:val="20"/>
                <w:szCs w:val="20"/>
              </w:rPr>
            </w:pPr>
            <w:r w:rsidRPr="00C505B1">
              <w:rPr>
                <w:sz w:val="20"/>
                <w:szCs w:val="20"/>
              </w:rPr>
              <w:t>0.223</w:t>
            </w:r>
          </w:p>
        </w:tc>
      </w:tr>
    </w:tbl>
    <w:p w14:paraId="56578113" w14:textId="77777777" w:rsidR="00315077" w:rsidRPr="00D75E5D" w:rsidRDefault="00315077" w:rsidP="00315077">
      <w:pPr>
        <w:widowControl w:val="0"/>
        <w:autoSpaceDE w:val="0"/>
        <w:autoSpaceDN w:val="0"/>
        <w:adjustRightInd w:val="0"/>
        <w:jc w:val="center"/>
        <w:rPr>
          <w:sz w:val="20"/>
          <w:szCs w:val="20"/>
        </w:rPr>
      </w:pPr>
      <w:r w:rsidRPr="00D75E5D">
        <w:rPr>
          <w:sz w:val="20"/>
          <w:szCs w:val="20"/>
        </w:rPr>
        <w:t>*** p&lt;0.01, ** p&lt;0.05, * p&lt;0.1</w:t>
      </w:r>
    </w:p>
    <w:p w14:paraId="75FFA5C4" w14:textId="77777777" w:rsidR="00315077" w:rsidRPr="00971912" w:rsidRDefault="00315077" w:rsidP="00315077">
      <w:pPr>
        <w:widowControl w:val="0"/>
        <w:autoSpaceDE w:val="0"/>
        <w:autoSpaceDN w:val="0"/>
        <w:adjustRightInd w:val="0"/>
        <w:jc w:val="center"/>
        <w:rPr>
          <w:sz w:val="20"/>
          <w:szCs w:val="20"/>
        </w:rPr>
      </w:pPr>
      <w:r w:rsidRPr="00971912">
        <w:rPr>
          <w:sz w:val="20"/>
          <w:szCs w:val="20"/>
        </w:rPr>
        <w:t>Errors clustered at the individual level. All models include ROA, cumulative connections, party school, leadership years, central and local experience, age and age squared, graduate degree, and Xi Jinping era. Models include foreign exchange indicator for data source.</w:t>
      </w:r>
    </w:p>
    <w:p w14:paraId="6B8757AC" w14:textId="77777777" w:rsidR="00315077" w:rsidRPr="00971912" w:rsidRDefault="00315077" w:rsidP="00315077">
      <w:pPr>
        <w:widowControl w:val="0"/>
        <w:autoSpaceDE w:val="0"/>
        <w:autoSpaceDN w:val="0"/>
        <w:adjustRightInd w:val="0"/>
        <w:jc w:val="center"/>
        <w:rPr>
          <w:rFonts w:asciiTheme="minorHAnsi" w:hAnsiTheme="minorHAnsi"/>
          <w:sz w:val="20"/>
          <w:szCs w:val="20"/>
        </w:rPr>
      </w:pPr>
    </w:p>
    <w:p w14:paraId="423B4AE9" w14:textId="77777777" w:rsidR="00315077" w:rsidRDefault="00315077" w:rsidP="00315077">
      <w:pPr>
        <w:spacing w:after="160" w:line="259" w:lineRule="auto"/>
        <w:rPr>
          <w:rFonts w:asciiTheme="minorHAnsi" w:hAnsiTheme="minorHAnsi"/>
        </w:rPr>
      </w:pPr>
      <w:r>
        <w:rPr>
          <w:rFonts w:asciiTheme="minorHAnsi" w:hAnsiTheme="minorHAnsi"/>
        </w:rPr>
        <w:br w:type="page"/>
      </w:r>
    </w:p>
    <w:p w14:paraId="77B595FF" w14:textId="25640A55" w:rsidR="00315077" w:rsidRPr="00127C2E" w:rsidRDefault="00315077" w:rsidP="00315077">
      <w:pPr>
        <w:widowControl w:val="0"/>
        <w:autoSpaceDE w:val="0"/>
        <w:autoSpaceDN w:val="0"/>
        <w:adjustRightInd w:val="0"/>
        <w:jc w:val="center"/>
        <w:rPr>
          <w:b/>
          <w:bCs/>
        </w:rPr>
      </w:pPr>
      <w:r w:rsidRPr="00127C2E">
        <w:rPr>
          <w:b/>
          <w:bCs/>
        </w:rPr>
        <w:lastRenderedPageBreak/>
        <w:t xml:space="preserve">Figure A2 Robustness Check: Linear </w:t>
      </w:r>
      <w:r w:rsidR="00127C2E" w:rsidRPr="00127C2E">
        <w:rPr>
          <w:b/>
          <w:bCs/>
        </w:rPr>
        <w:t>T</w:t>
      </w:r>
      <w:r w:rsidRPr="00127C2E">
        <w:rPr>
          <w:b/>
          <w:bCs/>
        </w:rPr>
        <w:t xml:space="preserve">rends of </w:t>
      </w:r>
      <w:r w:rsidR="00127C2E" w:rsidRPr="00127C2E">
        <w:rPr>
          <w:b/>
          <w:bCs/>
        </w:rPr>
        <w:t>P</w:t>
      </w:r>
      <w:r w:rsidRPr="00127C2E">
        <w:rPr>
          <w:b/>
          <w:bCs/>
        </w:rPr>
        <w:t xml:space="preserve">erformance </w:t>
      </w:r>
      <w:r w:rsidR="00127C2E" w:rsidRPr="00127C2E">
        <w:rPr>
          <w:b/>
          <w:bCs/>
        </w:rPr>
        <w:t>O</w:t>
      </w:r>
      <w:r w:rsidRPr="00127C2E">
        <w:rPr>
          <w:b/>
          <w:bCs/>
        </w:rPr>
        <w:t xml:space="preserve">ver </w:t>
      </w:r>
      <w:r w:rsidR="00127C2E" w:rsidRPr="00127C2E">
        <w:rPr>
          <w:b/>
          <w:bCs/>
        </w:rPr>
        <w:t>A</w:t>
      </w:r>
      <w:r w:rsidRPr="00127C2E">
        <w:rPr>
          <w:b/>
          <w:bCs/>
        </w:rPr>
        <w:t>ge</w:t>
      </w:r>
    </w:p>
    <w:p w14:paraId="0C48512D" w14:textId="77777777" w:rsidR="00315077" w:rsidRPr="00642025" w:rsidRDefault="00315077" w:rsidP="00315077">
      <w:pPr>
        <w:spacing w:after="160" w:line="259" w:lineRule="auto"/>
        <w:jc w:val="center"/>
        <w:rPr>
          <w:rFonts w:asciiTheme="minorHAnsi" w:hAnsiTheme="minorHAnsi"/>
          <w:b/>
        </w:rPr>
      </w:pPr>
      <w:r w:rsidRPr="00971912">
        <w:rPr>
          <w:noProof/>
          <w:color w:val="000000"/>
          <w:bdr w:val="none" w:sz="0" w:space="0" w:color="auto" w:frame="1"/>
        </w:rPr>
        <w:drawing>
          <wp:inline distT="0" distB="0" distL="0" distR="0" wp14:anchorId="67311D31" wp14:editId="6239E07A">
            <wp:extent cx="4257675" cy="3095625"/>
            <wp:effectExtent l="0" t="0" r="9525" b="9525"/>
            <wp:docPr id="193" name="Picture 19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descr="Chart&#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57675" cy="3095625"/>
                    </a:xfrm>
                    <a:prstGeom prst="rect">
                      <a:avLst/>
                    </a:prstGeom>
                    <a:noFill/>
                    <a:ln>
                      <a:noFill/>
                    </a:ln>
                  </pic:spPr>
                </pic:pic>
              </a:graphicData>
            </a:graphic>
          </wp:inline>
        </w:drawing>
      </w:r>
    </w:p>
    <w:p w14:paraId="4D5ED070" w14:textId="77777777" w:rsidR="00315077" w:rsidRDefault="00315077" w:rsidP="00315077">
      <w:pPr>
        <w:jc w:val="center"/>
      </w:pPr>
    </w:p>
    <w:p w14:paraId="496F2F28" w14:textId="77777777" w:rsidR="00315077" w:rsidRPr="003E4B63" w:rsidRDefault="00315077" w:rsidP="00315077">
      <w:pPr>
        <w:spacing w:after="160"/>
        <w:rPr>
          <w:b/>
        </w:rPr>
      </w:pPr>
    </w:p>
    <w:p w14:paraId="6A7C0F77" w14:textId="77777777" w:rsidR="00315077" w:rsidRPr="00512BFC" w:rsidRDefault="00315077" w:rsidP="00512BFC">
      <w:pPr>
        <w:rPr>
          <w:b/>
          <w:u w:val="single"/>
        </w:rPr>
      </w:pPr>
    </w:p>
    <w:sectPr w:rsidR="00315077" w:rsidRPr="00512BFC" w:rsidSect="00B614FD">
      <w:footerReference w:type="default" r:id="rId28"/>
      <w:footerReference w:type="first" r:id="rId29"/>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22C10" w14:textId="77777777" w:rsidR="00D20422" w:rsidRDefault="00D20422" w:rsidP="002A67C1">
      <w:r>
        <w:separator/>
      </w:r>
    </w:p>
  </w:endnote>
  <w:endnote w:type="continuationSeparator" w:id="0">
    <w:p w14:paraId="0D0A2C63" w14:textId="77777777" w:rsidR="00D20422" w:rsidRDefault="00D20422" w:rsidP="002A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ongti TC">
    <w:altName w:val="﷽﷽﷽﷽﷽﷽﷽﷽C"/>
    <w:panose1 w:val="02010600040101010101"/>
    <w:charset w:val="88"/>
    <w:family w:val="auto"/>
    <w:pitch w:val="variable"/>
    <w:sig w:usb0="00000287" w:usb1="080F0000" w:usb2="00000010" w:usb3="00000000" w:csb0="0014009F" w:csb1="00000000"/>
  </w:font>
  <w:font w:name="Songti SC">
    <w:altName w:val="Songti SC"/>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EBEBE" w14:textId="77777777" w:rsidR="00315077" w:rsidRDefault="00315077" w:rsidP="003708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E85019" w14:textId="77777777" w:rsidR="00315077" w:rsidRDefault="00315077" w:rsidP="003708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21630" w14:textId="77777777" w:rsidR="00315077" w:rsidRDefault="00315077" w:rsidP="003708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14:paraId="4D69F831" w14:textId="77777777" w:rsidR="00315077" w:rsidRDefault="00315077" w:rsidP="0037087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8287823"/>
      <w:docPartObj>
        <w:docPartGallery w:val="Page Numbers (Bottom of Page)"/>
        <w:docPartUnique/>
      </w:docPartObj>
    </w:sdtPr>
    <w:sdtEndPr>
      <w:rPr>
        <w:noProof/>
      </w:rPr>
    </w:sdtEndPr>
    <w:sdtContent>
      <w:p w14:paraId="7F31F18C" w14:textId="77777777" w:rsidR="00315077" w:rsidRDefault="00D20422">
        <w:pPr>
          <w:pStyle w:val="Footer"/>
          <w:jc w:val="right"/>
        </w:pPr>
      </w:p>
    </w:sdtContent>
  </w:sdt>
  <w:p w14:paraId="3A0C73D5" w14:textId="77777777" w:rsidR="00315077" w:rsidRDefault="003150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0001095"/>
      <w:docPartObj>
        <w:docPartGallery w:val="Page Numbers (Bottom of Page)"/>
        <w:docPartUnique/>
      </w:docPartObj>
    </w:sdtPr>
    <w:sdtEndPr>
      <w:rPr>
        <w:noProof/>
      </w:rPr>
    </w:sdtEndPr>
    <w:sdtContent>
      <w:p w14:paraId="2FCE62D4" w14:textId="77777777" w:rsidR="00315077" w:rsidRDefault="0031507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BB2370F" w14:textId="77777777" w:rsidR="00315077" w:rsidRDefault="00315077" w:rsidP="00E4726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2637915"/>
      <w:docPartObj>
        <w:docPartGallery w:val="Page Numbers (Bottom of Page)"/>
        <w:docPartUnique/>
      </w:docPartObj>
    </w:sdtPr>
    <w:sdtEndPr>
      <w:rPr>
        <w:noProof/>
      </w:rPr>
    </w:sdtEndPr>
    <w:sdtContent>
      <w:p w14:paraId="0487F273" w14:textId="77777777" w:rsidR="00315077" w:rsidRDefault="00315077" w:rsidP="00B614FD">
        <w:pPr>
          <w:pStyle w:val="Footer"/>
          <w:jc w:val="right"/>
        </w:pPr>
        <w:r>
          <w:t>1</w:t>
        </w:r>
      </w:p>
    </w:sdtContent>
  </w:sdt>
  <w:p w14:paraId="6E6CEB02" w14:textId="77777777" w:rsidR="00315077" w:rsidRDefault="003150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1172313"/>
      <w:docPartObj>
        <w:docPartGallery w:val="Page Numbers (Bottom of Page)"/>
        <w:docPartUnique/>
      </w:docPartObj>
    </w:sdtPr>
    <w:sdtEndPr>
      <w:rPr>
        <w:noProof/>
      </w:rPr>
    </w:sdtEndPr>
    <w:sdtContent>
      <w:p w14:paraId="1E3E9044" w14:textId="77777777" w:rsidR="00315077" w:rsidRDefault="0031507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1313707" w14:textId="77777777" w:rsidR="00315077" w:rsidRDefault="00315077" w:rsidP="00315077">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375563"/>
      <w:docPartObj>
        <w:docPartGallery w:val="Page Numbers (Bottom of Page)"/>
        <w:docPartUnique/>
      </w:docPartObj>
    </w:sdtPr>
    <w:sdtEndPr>
      <w:rPr>
        <w:noProof/>
      </w:rPr>
    </w:sdtEndPr>
    <w:sdtContent>
      <w:p w14:paraId="2F34AB22" w14:textId="77777777" w:rsidR="00315077" w:rsidRDefault="003150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9614A4" w14:textId="77777777" w:rsidR="00315077" w:rsidRDefault="003150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445035"/>
      <w:docPartObj>
        <w:docPartGallery w:val="Page Numbers (Bottom of Page)"/>
        <w:docPartUnique/>
      </w:docPartObj>
    </w:sdtPr>
    <w:sdtEndPr>
      <w:rPr>
        <w:noProof/>
      </w:rPr>
    </w:sdtEndPr>
    <w:sdtContent>
      <w:p w14:paraId="40E64359" w14:textId="77777777" w:rsidR="00315077" w:rsidRDefault="0031507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5CB274F6" w14:textId="77777777" w:rsidR="00315077" w:rsidRDefault="00315077" w:rsidP="00E47265">
    <w:pPr>
      <w:pStyle w:val="Footer"/>
      <w:ind w:right="360"/>
    </w:pPr>
  </w:p>
  <w:p w14:paraId="4ABEB51E" w14:textId="77777777" w:rsidR="00315077" w:rsidRDefault="0031507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6655324"/>
      <w:docPartObj>
        <w:docPartGallery w:val="Page Numbers (Bottom of Page)"/>
        <w:docPartUnique/>
      </w:docPartObj>
    </w:sdtPr>
    <w:sdtEndPr>
      <w:rPr>
        <w:noProof/>
      </w:rPr>
    </w:sdtEndPr>
    <w:sdtContent>
      <w:p w14:paraId="3DADACA7" w14:textId="153AACB1" w:rsidR="00315077" w:rsidRDefault="00315077" w:rsidP="00B614FD">
        <w:pPr>
          <w:pStyle w:val="Footer"/>
          <w:jc w:val="right"/>
        </w:pPr>
        <w:r>
          <w:t>1</w:t>
        </w:r>
      </w:p>
    </w:sdtContent>
  </w:sdt>
  <w:p w14:paraId="5C10639E" w14:textId="77777777" w:rsidR="00315077" w:rsidRDefault="00315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2BDF4" w14:textId="77777777" w:rsidR="00D20422" w:rsidRDefault="00D20422" w:rsidP="002A67C1">
      <w:r>
        <w:separator/>
      </w:r>
    </w:p>
  </w:footnote>
  <w:footnote w:type="continuationSeparator" w:id="0">
    <w:p w14:paraId="1C8C9744" w14:textId="77777777" w:rsidR="00D20422" w:rsidRDefault="00D20422" w:rsidP="002A67C1">
      <w:r>
        <w:continuationSeparator/>
      </w:r>
    </w:p>
  </w:footnote>
  <w:footnote w:id="1">
    <w:p w14:paraId="4A6B7F7E" w14:textId="77777777" w:rsidR="00315077" w:rsidRPr="00FE6BB3" w:rsidRDefault="00315077" w:rsidP="008E0CD3">
      <w:pPr>
        <w:pStyle w:val="FootnoteText"/>
        <w:snapToGrid w:val="0"/>
        <w:rPr>
          <w:rFonts w:ascii="Times New Roman" w:hAnsi="Times New Roman" w:cs="Times New Roman"/>
        </w:rPr>
      </w:pPr>
      <w:r w:rsidRPr="00FE6BB3">
        <w:rPr>
          <w:rStyle w:val="FootnoteReference"/>
          <w:rFonts w:ascii="Times New Roman" w:hAnsi="Times New Roman" w:cs="Times New Roman"/>
        </w:rPr>
        <w:footnoteRef/>
      </w:r>
      <w:r w:rsidRPr="00FE6BB3">
        <w:rPr>
          <w:rFonts w:ascii="Times New Roman" w:hAnsi="Times New Roman" w:cs="Times New Roman"/>
        </w:rPr>
        <w:t xml:space="preserve"> </w:t>
      </w:r>
      <w:r w:rsidRPr="00FE6BB3">
        <w:rPr>
          <w:rFonts w:ascii="Times New Roman" w:eastAsia="SimSun" w:hAnsi="Times New Roman" w:cs="Times New Roman"/>
        </w:rPr>
        <w:t xml:space="preserve">Approximately one quarter of the firms on the 2018 Fortune Global 500 are state-owned. </w:t>
      </w:r>
      <w:r w:rsidRPr="00FE6BB3">
        <w:rPr>
          <w:rFonts w:ascii="Times New Roman" w:hAnsi="Times New Roman" w:cs="Times New Roman"/>
        </w:rPr>
        <w:t xml:space="preserve">SOEs are among the largest companies in emerging economies as well as advanced capitalist states </w:t>
      </w:r>
      <w:r w:rsidRPr="00FE6BB3">
        <w:rPr>
          <w:rFonts w:ascii="Times New Roman" w:eastAsia="SimSun" w:hAnsi="Times New Roman" w:cs="Times New Roman"/>
        </w:rPr>
        <w:t xml:space="preserve">Authors’ calculations based on Fortune 2018 Global 500 list. </w:t>
      </w:r>
    </w:p>
  </w:footnote>
  <w:footnote w:id="2">
    <w:p w14:paraId="1906CEF5" w14:textId="77777777" w:rsidR="00315077" w:rsidRPr="00FE6BB3" w:rsidRDefault="00315077" w:rsidP="008E0CD3">
      <w:pPr>
        <w:pStyle w:val="FootnoteText"/>
        <w:rPr>
          <w:rFonts w:ascii="Times New Roman" w:hAnsi="Times New Roman" w:cs="Times New Roman"/>
        </w:rPr>
      </w:pPr>
      <w:r w:rsidRPr="00FE6BB3">
        <w:rPr>
          <w:rStyle w:val="FootnoteReference"/>
          <w:rFonts w:ascii="Times New Roman" w:hAnsi="Times New Roman" w:cs="Times New Roman"/>
        </w:rPr>
        <w:footnoteRef/>
      </w:r>
      <w:r w:rsidRPr="00FE6BB3">
        <w:rPr>
          <w:rFonts w:ascii="Times New Roman" w:hAnsi="Times New Roman" w:cs="Times New Roman"/>
        </w:rPr>
        <w:t xml:space="preserve"> </w:t>
      </w:r>
      <w:r w:rsidRPr="00FE6BB3">
        <w:rPr>
          <w:rFonts w:ascii="Times New Roman" w:eastAsia="SimSun" w:hAnsi="Times New Roman" w:cs="Times New Roman"/>
        </w:rPr>
        <w:t>OECD (2017); World Bank (2014).</w:t>
      </w:r>
    </w:p>
  </w:footnote>
  <w:footnote w:id="3">
    <w:p w14:paraId="353E39BD" w14:textId="77777777" w:rsidR="00315077" w:rsidRPr="00FE6BB3" w:rsidRDefault="00315077" w:rsidP="008E0CD3">
      <w:pPr>
        <w:pStyle w:val="FootnoteText"/>
        <w:rPr>
          <w:rFonts w:ascii="Times New Roman" w:hAnsi="Times New Roman" w:cs="Times New Roman"/>
        </w:rPr>
      </w:pPr>
      <w:r w:rsidRPr="00FE6BB3">
        <w:rPr>
          <w:rStyle w:val="FootnoteReference"/>
          <w:rFonts w:ascii="Times New Roman" w:hAnsi="Times New Roman" w:cs="Times New Roman"/>
        </w:rPr>
        <w:footnoteRef/>
      </w:r>
      <w:r w:rsidRPr="00FE6BB3">
        <w:rPr>
          <w:rFonts w:ascii="Times New Roman" w:hAnsi="Times New Roman" w:cs="Times New Roman"/>
        </w:rPr>
        <w:t xml:space="preserve"> </w:t>
      </w:r>
      <w:proofErr w:type="spellStart"/>
      <w:r w:rsidRPr="00FE6BB3">
        <w:rPr>
          <w:rFonts w:ascii="Times New Roman" w:eastAsia="SimSun" w:hAnsi="Times New Roman" w:cs="Times New Roman"/>
        </w:rPr>
        <w:t>Dewenter</w:t>
      </w:r>
      <w:proofErr w:type="spellEnd"/>
      <w:r w:rsidRPr="00FE6BB3">
        <w:rPr>
          <w:rFonts w:ascii="Times New Roman" w:eastAsia="SimSun" w:hAnsi="Times New Roman" w:cs="Times New Roman"/>
        </w:rPr>
        <w:t xml:space="preserve"> and Malatesta (2001); Ehrlich et al. (1994); </w:t>
      </w:r>
      <w:proofErr w:type="spellStart"/>
      <w:r w:rsidRPr="00FE6BB3">
        <w:rPr>
          <w:rFonts w:ascii="Times New Roman" w:eastAsia="SimSun" w:hAnsi="Times New Roman" w:cs="Times New Roman"/>
        </w:rPr>
        <w:t>Frydman</w:t>
      </w:r>
      <w:proofErr w:type="spellEnd"/>
      <w:r w:rsidRPr="00FE6BB3">
        <w:rPr>
          <w:rFonts w:ascii="Times New Roman" w:eastAsia="SimSun" w:hAnsi="Times New Roman" w:cs="Times New Roman"/>
        </w:rPr>
        <w:t xml:space="preserve"> et al. (1999).</w:t>
      </w:r>
    </w:p>
  </w:footnote>
  <w:footnote w:id="4">
    <w:p w14:paraId="2F39CBFF" w14:textId="77777777" w:rsidR="00315077" w:rsidRPr="00FE6BB3" w:rsidRDefault="00315077" w:rsidP="008E0CD3">
      <w:pPr>
        <w:pStyle w:val="FootnoteText"/>
        <w:rPr>
          <w:rFonts w:ascii="Times New Roman" w:hAnsi="Times New Roman" w:cs="Times New Roman"/>
        </w:rPr>
      </w:pPr>
      <w:r w:rsidRPr="00FE6BB3">
        <w:rPr>
          <w:rStyle w:val="FootnoteReference"/>
          <w:rFonts w:ascii="Times New Roman" w:hAnsi="Times New Roman" w:cs="Times New Roman"/>
        </w:rPr>
        <w:footnoteRef/>
      </w:r>
      <w:r w:rsidRPr="00FE6BB3">
        <w:rPr>
          <w:rFonts w:ascii="Times New Roman" w:hAnsi="Times New Roman" w:cs="Times New Roman"/>
        </w:rPr>
        <w:t xml:space="preserve"> </w:t>
      </w:r>
      <w:proofErr w:type="spellStart"/>
      <w:r w:rsidRPr="00FE6BB3">
        <w:rPr>
          <w:rFonts w:ascii="Times New Roman" w:eastAsia="SimSun" w:hAnsi="Times New Roman" w:cs="Times New Roman"/>
        </w:rPr>
        <w:t>Aharoni</w:t>
      </w:r>
      <w:proofErr w:type="spellEnd"/>
      <w:r w:rsidRPr="00FE6BB3">
        <w:rPr>
          <w:rFonts w:ascii="Times New Roman" w:eastAsia="SimSun" w:hAnsi="Times New Roman" w:cs="Times New Roman"/>
        </w:rPr>
        <w:t xml:space="preserve"> (1986).</w:t>
      </w:r>
    </w:p>
  </w:footnote>
  <w:footnote w:id="5">
    <w:p w14:paraId="5753C24A" w14:textId="77777777" w:rsidR="00315077" w:rsidRPr="00FE6BB3" w:rsidRDefault="00315077" w:rsidP="008E0CD3">
      <w:pPr>
        <w:pStyle w:val="FootnoteText"/>
        <w:rPr>
          <w:rFonts w:ascii="Times New Roman" w:hAnsi="Times New Roman" w:cs="Times New Roman"/>
        </w:rPr>
      </w:pPr>
      <w:r w:rsidRPr="00FE6BB3">
        <w:rPr>
          <w:rStyle w:val="FootnoteReference"/>
          <w:rFonts w:ascii="Times New Roman" w:hAnsi="Times New Roman" w:cs="Times New Roman"/>
        </w:rPr>
        <w:footnoteRef/>
      </w:r>
      <w:r w:rsidRPr="00FE6BB3">
        <w:rPr>
          <w:rFonts w:ascii="Times New Roman" w:hAnsi="Times New Roman" w:cs="Times New Roman"/>
        </w:rPr>
        <w:t xml:space="preserve"> </w:t>
      </w:r>
      <w:r w:rsidRPr="00FE6BB3">
        <w:rPr>
          <w:rFonts w:ascii="Times New Roman" w:eastAsia="SimSun" w:hAnsi="Times New Roman" w:cs="Times New Roman"/>
        </w:rPr>
        <w:t>World Bank (2014).</w:t>
      </w:r>
    </w:p>
  </w:footnote>
  <w:footnote w:id="6">
    <w:p w14:paraId="435163C1" w14:textId="77777777" w:rsidR="00315077" w:rsidRPr="00FE6BB3" w:rsidRDefault="00315077" w:rsidP="008E0CD3">
      <w:pPr>
        <w:pStyle w:val="FootnoteText"/>
        <w:rPr>
          <w:rFonts w:ascii="Times New Roman" w:hAnsi="Times New Roman" w:cs="Times New Roman"/>
        </w:rPr>
      </w:pPr>
      <w:r w:rsidRPr="00FE6BB3">
        <w:rPr>
          <w:rStyle w:val="FootnoteReference"/>
          <w:rFonts w:ascii="Times New Roman" w:hAnsi="Times New Roman" w:cs="Times New Roman"/>
        </w:rPr>
        <w:footnoteRef/>
      </w:r>
      <w:r w:rsidRPr="00FE6BB3">
        <w:rPr>
          <w:rFonts w:ascii="Times New Roman" w:hAnsi="Times New Roman" w:cs="Times New Roman"/>
        </w:rPr>
        <w:t xml:space="preserve"> </w:t>
      </w:r>
      <w:proofErr w:type="spellStart"/>
      <w:r w:rsidRPr="00FE6BB3">
        <w:rPr>
          <w:rFonts w:ascii="Times New Roman" w:eastAsia="SimSun" w:hAnsi="Times New Roman" w:cs="Times New Roman"/>
        </w:rPr>
        <w:t>Filatov</w:t>
      </w:r>
      <w:proofErr w:type="spellEnd"/>
      <w:r w:rsidRPr="00FE6BB3">
        <w:rPr>
          <w:rFonts w:ascii="Times New Roman" w:eastAsia="SimSun" w:hAnsi="Times New Roman" w:cs="Times New Roman"/>
        </w:rPr>
        <w:t xml:space="preserve">, </w:t>
      </w:r>
      <w:proofErr w:type="spellStart"/>
      <w:r w:rsidRPr="00FE6BB3">
        <w:rPr>
          <w:rFonts w:ascii="Times New Roman" w:eastAsia="SimSun" w:hAnsi="Times New Roman" w:cs="Times New Roman"/>
        </w:rPr>
        <w:t>Tutkevich</w:t>
      </w:r>
      <w:proofErr w:type="spellEnd"/>
      <w:r w:rsidRPr="00FE6BB3">
        <w:rPr>
          <w:rFonts w:ascii="Times New Roman" w:eastAsia="SimSun" w:hAnsi="Times New Roman" w:cs="Times New Roman"/>
        </w:rPr>
        <w:t xml:space="preserve">, and </w:t>
      </w:r>
      <w:proofErr w:type="spellStart"/>
      <w:r w:rsidRPr="00FE6BB3">
        <w:rPr>
          <w:rFonts w:ascii="Times New Roman" w:eastAsia="SimSun" w:hAnsi="Times New Roman" w:cs="Times New Roman"/>
        </w:rPr>
        <w:t>Cherkaev</w:t>
      </w:r>
      <w:proofErr w:type="spellEnd"/>
      <w:r w:rsidRPr="00FE6BB3">
        <w:rPr>
          <w:rFonts w:ascii="Times New Roman" w:eastAsia="SimSun" w:hAnsi="Times New Roman" w:cs="Times New Roman"/>
        </w:rPr>
        <w:t xml:space="preserve"> (2005).</w:t>
      </w:r>
    </w:p>
  </w:footnote>
  <w:footnote w:id="7">
    <w:p w14:paraId="246CB8E8" w14:textId="77777777" w:rsidR="00315077" w:rsidRPr="00FE6BB3" w:rsidRDefault="00315077" w:rsidP="008E0CD3">
      <w:pPr>
        <w:pStyle w:val="FootnoteText"/>
        <w:rPr>
          <w:rFonts w:ascii="Times New Roman" w:hAnsi="Times New Roman" w:cs="Times New Roman"/>
        </w:rPr>
      </w:pPr>
      <w:r w:rsidRPr="00FE6BB3">
        <w:rPr>
          <w:rStyle w:val="FootnoteReference"/>
          <w:rFonts w:ascii="Times New Roman" w:hAnsi="Times New Roman" w:cs="Times New Roman"/>
        </w:rPr>
        <w:footnoteRef/>
      </w:r>
      <w:r w:rsidRPr="00FE6BB3">
        <w:rPr>
          <w:rFonts w:ascii="Times New Roman" w:hAnsi="Times New Roman" w:cs="Times New Roman"/>
        </w:rPr>
        <w:t xml:space="preserve"> </w:t>
      </w:r>
      <w:r w:rsidRPr="00FE6BB3">
        <w:rPr>
          <w:rFonts w:ascii="Times New Roman" w:eastAsia="SimSun" w:hAnsi="Times New Roman" w:cs="Times New Roman"/>
        </w:rPr>
        <w:t>OECD (2017), Kowalski et al. (2013).</w:t>
      </w:r>
    </w:p>
  </w:footnote>
  <w:footnote w:id="8">
    <w:p w14:paraId="79FE754B" w14:textId="77777777" w:rsidR="00315077" w:rsidRPr="00FE6BB3" w:rsidRDefault="00315077" w:rsidP="008E0CD3">
      <w:pPr>
        <w:pStyle w:val="FootnoteText"/>
        <w:snapToGrid w:val="0"/>
        <w:rPr>
          <w:rFonts w:ascii="Times New Roman" w:eastAsia="SimSun" w:hAnsi="Times New Roman" w:cs="Times New Roman"/>
        </w:rPr>
      </w:pPr>
      <w:r w:rsidRPr="00FE6BB3">
        <w:rPr>
          <w:rStyle w:val="FootnoteReference"/>
          <w:rFonts w:ascii="Times New Roman" w:eastAsia="SimSun" w:hAnsi="Times New Roman" w:cs="Times New Roman"/>
        </w:rPr>
        <w:footnoteRef/>
      </w:r>
      <w:r w:rsidRPr="00FE6BB3">
        <w:rPr>
          <w:rFonts w:ascii="Times New Roman" w:eastAsia="SimSun" w:hAnsi="Times New Roman" w:cs="Times New Roman"/>
        </w:rPr>
        <w:t xml:space="preserve"> </w:t>
      </w:r>
      <w:r>
        <w:rPr>
          <w:rFonts w:ascii="Times New Roman" w:eastAsia="SimSun" w:hAnsi="Times New Roman" w:cs="Times New Roman"/>
        </w:rPr>
        <w:t xml:space="preserve">Estimated SOE contribution to GDP is for 2017. Zhang (2019). </w:t>
      </w:r>
      <w:r w:rsidRPr="00FE6BB3">
        <w:rPr>
          <w:rFonts w:ascii="Times New Roman" w:eastAsia="SimSun" w:hAnsi="Times New Roman" w:cs="Times New Roman"/>
        </w:rPr>
        <w:t xml:space="preserve">Calculations </w:t>
      </w:r>
      <w:r>
        <w:rPr>
          <w:rFonts w:ascii="Times New Roman" w:eastAsia="SimSun" w:hAnsi="Times New Roman" w:cs="Times New Roman"/>
        </w:rPr>
        <w:t xml:space="preserve">for SOE share of industrial assets and presence in equity markets </w:t>
      </w:r>
      <w:r w:rsidRPr="00FE6BB3">
        <w:rPr>
          <w:rFonts w:ascii="Times New Roman" w:eastAsia="SimSun" w:hAnsi="Times New Roman" w:cs="Times New Roman"/>
        </w:rPr>
        <w:t>use Bloomberg data about companies listed on the Shanghai and Shenzhen stock exchanges, as of June 2018. Rhodium Group (2018).</w:t>
      </w:r>
    </w:p>
  </w:footnote>
  <w:footnote w:id="9">
    <w:p w14:paraId="31E6B65B" w14:textId="77777777" w:rsidR="00315077" w:rsidRPr="00FE6BB3" w:rsidRDefault="00315077" w:rsidP="008E0CD3">
      <w:pPr>
        <w:pStyle w:val="FootnoteText"/>
        <w:rPr>
          <w:rFonts w:ascii="Times New Roman" w:hAnsi="Times New Roman" w:cs="Times New Roman"/>
        </w:rPr>
      </w:pPr>
      <w:r w:rsidRPr="00FE6BB3">
        <w:rPr>
          <w:rStyle w:val="FootnoteReference"/>
          <w:rFonts w:ascii="Times New Roman" w:hAnsi="Times New Roman" w:cs="Times New Roman"/>
        </w:rPr>
        <w:footnoteRef/>
      </w:r>
      <w:r w:rsidRPr="00FE6BB3">
        <w:rPr>
          <w:rFonts w:ascii="Times New Roman" w:hAnsi="Times New Roman" w:cs="Times New Roman"/>
        </w:rPr>
        <w:t xml:space="preserve"> </w:t>
      </w:r>
      <w:r w:rsidRPr="00FE6BB3">
        <w:rPr>
          <w:rFonts w:ascii="Times New Roman" w:eastAsia="SimSun" w:hAnsi="Times New Roman" w:cs="Times New Roman"/>
        </w:rPr>
        <w:t>Scissors (2017).</w:t>
      </w:r>
    </w:p>
  </w:footnote>
  <w:footnote w:id="10">
    <w:p w14:paraId="7AEEA17D" w14:textId="77777777" w:rsidR="00315077" w:rsidRPr="00FE6BB3" w:rsidRDefault="00315077" w:rsidP="008E0CD3">
      <w:pPr>
        <w:pStyle w:val="FootnoteText"/>
        <w:rPr>
          <w:rFonts w:ascii="Times New Roman" w:hAnsi="Times New Roman" w:cs="Times New Roman"/>
        </w:rPr>
      </w:pPr>
      <w:r w:rsidRPr="00FE6BB3">
        <w:rPr>
          <w:rStyle w:val="FootnoteReference"/>
          <w:rFonts w:ascii="Times New Roman" w:hAnsi="Times New Roman" w:cs="Times New Roman"/>
        </w:rPr>
        <w:footnoteRef/>
      </w:r>
      <w:r w:rsidRPr="00FE6BB3">
        <w:rPr>
          <w:rFonts w:ascii="Times New Roman" w:hAnsi="Times New Roman" w:cs="Times New Roman"/>
        </w:rPr>
        <w:t xml:space="preserve"> For a comparative overview of national appointment practices for SOE boards of directors in 31 countries, see OECD (2013).</w:t>
      </w:r>
    </w:p>
  </w:footnote>
  <w:footnote w:id="11">
    <w:p w14:paraId="2FB62FD9" w14:textId="77777777" w:rsidR="00315077" w:rsidRPr="00FE6BB3" w:rsidRDefault="00315077" w:rsidP="008E0CD3">
      <w:pPr>
        <w:pStyle w:val="FootnoteText"/>
        <w:rPr>
          <w:rFonts w:ascii="Times New Roman" w:hAnsi="Times New Roman" w:cs="Times New Roman"/>
        </w:rPr>
      </w:pPr>
      <w:r w:rsidRPr="00FE6BB3">
        <w:rPr>
          <w:rStyle w:val="FootnoteReference"/>
          <w:rFonts w:ascii="Times New Roman" w:hAnsi="Times New Roman" w:cs="Times New Roman"/>
        </w:rPr>
        <w:footnoteRef/>
      </w:r>
      <w:r w:rsidRPr="00FE6BB3">
        <w:rPr>
          <w:rFonts w:ascii="Times New Roman" w:hAnsi="Times New Roman" w:cs="Times New Roman"/>
        </w:rPr>
        <w:t xml:space="preserve"> </w:t>
      </w:r>
      <w:r w:rsidRPr="00FE6BB3">
        <w:rPr>
          <w:rFonts w:ascii="Times New Roman" w:eastAsia="SimSun" w:hAnsi="Times New Roman" w:cs="Times New Roman"/>
        </w:rPr>
        <w:t>World Bank (2014), 187.</w:t>
      </w:r>
    </w:p>
  </w:footnote>
  <w:footnote w:id="12">
    <w:p w14:paraId="7B565FFC" w14:textId="77777777" w:rsidR="00315077" w:rsidRPr="00FE6BB3" w:rsidRDefault="00315077" w:rsidP="008E0CD3">
      <w:pPr>
        <w:pStyle w:val="FootnoteText"/>
        <w:rPr>
          <w:rFonts w:ascii="Times New Roman" w:hAnsi="Times New Roman" w:cs="Times New Roman"/>
        </w:rPr>
      </w:pPr>
      <w:r w:rsidRPr="00FE6BB3">
        <w:rPr>
          <w:rStyle w:val="FootnoteReference"/>
          <w:rFonts w:ascii="Times New Roman" w:hAnsi="Times New Roman" w:cs="Times New Roman"/>
        </w:rPr>
        <w:footnoteRef/>
      </w:r>
      <w:r w:rsidRPr="00FE6BB3">
        <w:rPr>
          <w:rFonts w:ascii="Times New Roman" w:hAnsi="Times New Roman" w:cs="Times New Roman"/>
        </w:rPr>
        <w:t xml:space="preserve"> </w:t>
      </w:r>
      <w:r w:rsidRPr="00FE6BB3">
        <w:rPr>
          <w:rFonts w:ascii="Times New Roman" w:eastAsia="SimSun" w:hAnsi="Times New Roman" w:cs="Times New Roman"/>
        </w:rPr>
        <w:t>World Bank (2014), 187.</w:t>
      </w:r>
    </w:p>
  </w:footnote>
  <w:footnote w:id="13">
    <w:p w14:paraId="3BAD43AD" w14:textId="77777777" w:rsidR="00315077" w:rsidRPr="00FE6BB3" w:rsidRDefault="00315077" w:rsidP="008E0CD3">
      <w:pPr>
        <w:pStyle w:val="FootnoteText"/>
        <w:rPr>
          <w:rFonts w:ascii="Times New Roman" w:hAnsi="Times New Roman" w:cs="Times New Roman"/>
        </w:rPr>
      </w:pPr>
      <w:r w:rsidRPr="00FE6BB3">
        <w:rPr>
          <w:rStyle w:val="FootnoteReference"/>
          <w:rFonts w:ascii="Times New Roman" w:hAnsi="Times New Roman" w:cs="Times New Roman"/>
        </w:rPr>
        <w:footnoteRef/>
      </w:r>
      <w:r w:rsidRPr="00FE6BB3">
        <w:rPr>
          <w:rFonts w:ascii="Times New Roman" w:hAnsi="Times New Roman" w:cs="Times New Roman"/>
        </w:rPr>
        <w:t xml:space="preserve"> </w:t>
      </w:r>
      <w:proofErr w:type="spellStart"/>
      <w:r w:rsidRPr="00FE6BB3">
        <w:rPr>
          <w:rFonts w:ascii="Times New Roman" w:eastAsia="SimSun" w:hAnsi="Times New Roman" w:cs="Times New Roman"/>
        </w:rPr>
        <w:t>Hertog</w:t>
      </w:r>
      <w:proofErr w:type="spellEnd"/>
      <w:r w:rsidRPr="00FE6BB3">
        <w:rPr>
          <w:rFonts w:ascii="Times New Roman" w:eastAsia="SimSun" w:hAnsi="Times New Roman" w:cs="Times New Roman"/>
        </w:rPr>
        <w:t xml:space="preserve"> (2010).</w:t>
      </w:r>
    </w:p>
  </w:footnote>
  <w:footnote w:id="14">
    <w:p w14:paraId="010A2AE1" w14:textId="77777777" w:rsidR="00315077" w:rsidRPr="00FE6BB3" w:rsidRDefault="00315077" w:rsidP="008E0CD3">
      <w:pPr>
        <w:pStyle w:val="FootnoteText"/>
        <w:rPr>
          <w:rFonts w:ascii="Times New Roman" w:hAnsi="Times New Roman" w:cs="Times New Roman"/>
        </w:rPr>
      </w:pPr>
      <w:r w:rsidRPr="00FE6BB3">
        <w:rPr>
          <w:rStyle w:val="FootnoteReference"/>
          <w:rFonts w:ascii="Times New Roman" w:hAnsi="Times New Roman" w:cs="Times New Roman"/>
        </w:rPr>
        <w:footnoteRef/>
      </w:r>
      <w:r w:rsidRPr="00FE6BB3">
        <w:rPr>
          <w:rFonts w:ascii="Times New Roman" w:hAnsi="Times New Roman" w:cs="Times New Roman"/>
        </w:rPr>
        <w:t xml:space="preserve"> </w:t>
      </w:r>
      <w:proofErr w:type="spellStart"/>
      <w:r w:rsidRPr="00FE6BB3">
        <w:rPr>
          <w:rFonts w:ascii="Times New Roman" w:eastAsia="SimSun" w:hAnsi="Times New Roman" w:cs="Times New Roman"/>
        </w:rPr>
        <w:t>Filatov</w:t>
      </w:r>
      <w:proofErr w:type="spellEnd"/>
      <w:r w:rsidRPr="00FE6BB3">
        <w:rPr>
          <w:rFonts w:ascii="Times New Roman" w:eastAsia="SimSun" w:hAnsi="Times New Roman" w:cs="Times New Roman"/>
        </w:rPr>
        <w:t xml:space="preserve">, </w:t>
      </w:r>
      <w:proofErr w:type="spellStart"/>
      <w:r w:rsidRPr="00FE6BB3">
        <w:rPr>
          <w:rFonts w:ascii="Times New Roman" w:eastAsia="SimSun" w:hAnsi="Times New Roman" w:cs="Times New Roman"/>
        </w:rPr>
        <w:t>Tutkevich</w:t>
      </w:r>
      <w:proofErr w:type="spellEnd"/>
      <w:r w:rsidRPr="00FE6BB3">
        <w:rPr>
          <w:rFonts w:ascii="Times New Roman" w:eastAsia="SimSun" w:hAnsi="Times New Roman" w:cs="Times New Roman"/>
        </w:rPr>
        <w:t xml:space="preserve">, and </w:t>
      </w:r>
      <w:proofErr w:type="spellStart"/>
      <w:r w:rsidRPr="00FE6BB3">
        <w:rPr>
          <w:rFonts w:ascii="Times New Roman" w:eastAsia="SimSun" w:hAnsi="Times New Roman" w:cs="Times New Roman"/>
        </w:rPr>
        <w:t>Cherkaev</w:t>
      </w:r>
      <w:proofErr w:type="spellEnd"/>
      <w:r w:rsidRPr="00FE6BB3">
        <w:rPr>
          <w:rFonts w:ascii="Times New Roman" w:eastAsia="SimSun" w:hAnsi="Times New Roman" w:cs="Times New Roman"/>
        </w:rPr>
        <w:t xml:space="preserve"> (2005).</w:t>
      </w:r>
    </w:p>
  </w:footnote>
  <w:footnote w:id="15">
    <w:p w14:paraId="7E1BA3D8" w14:textId="77777777" w:rsidR="00315077" w:rsidRPr="00FE6BB3" w:rsidRDefault="00315077" w:rsidP="008E0CD3">
      <w:pPr>
        <w:pStyle w:val="FootnoteText"/>
        <w:rPr>
          <w:rFonts w:ascii="Times New Roman" w:hAnsi="Times New Roman" w:cs="Times New Roman"/>
        </w:rPr>
      </w:pPr>
      <w:r w:rsidRPr="00FE6BB3">
        <w:rPr>
          <w:rStyle w:val="FootnoteReference"/>
          <w:rFonts w:ascii="Times New Roman" w:hAnsi="Times New Roman" w:cs="Times New Roman"/>
        </w:rPr>
        <w:footnoteRef/>
      </w:r>
      <w:r w:rsidRPr="00FE6BB3">
        <w:rPr>
          <w:rFonts w:ascii="Times New Roman" w:hAnsi="Times New Roman" w:cs="Times New Roman"/>
        </w:rPr>
        <w:t xml:space="preserve"> </w:t>
      </w:r>
      <w:r w:rsidRPr="00FE6BB3">
        <w:rPr>
          <w:rFonts w:ascii="Times New Roman" w:eastAsia="SimSun" w:hAnsi="Times New Roman" w:cs="Times New Roman"/>
        </w:rPr>
        <w:t>Schoenherr (2019).</w:t>
      </w:r>
    </w:p>
  </w:footnote>
  <w:footnote w:id="16">
    <w:p w14:paraId="056998D3" w14:textId="77777777" w:rsidR="00315077" w:rsidRPr="00FE6BB3" w:rsidRDefault="00315077" w:rsidP="008E0CD3">
      <w:pPr>
        <w:pStyle w:val="FootnoteText"/>
        <w:rPr>
          <w:rFonts w:ascii="Times New Roman" w:hAnsi="Times New Roman" w:cs="Times New Roman"/>
        </w:rPr>
      </w:pPr>
      <w:r w:rsidRPr="00FE6BB3">
        <w:rPr>
          <w:rStyle w:val="FootnoteReference"/>
          <w:rFonts w:ascii="Times New Roman" w:hAnsi="Times New Roman" w:cs="Times New Roman"/>
        </w:rPr>
        <w:footnoteRef/>
      </w:r>
      <w:r w:rsidRPr="00FE6BB3">
        <w:rPr>
          <w:rFonts w:ascii="Times New Roman" w:hAnsi="Times New Roman" w:cs="Times New Roman"/>
        </w:rPr>
        <w:t xml:space="preserve"> </w:t>
      </w:r>
      <w:proofErr w:type="spellStart"/>
      <w:r w:rsidRPr="00FE6BB3">
        <w:rPr>
          <w:rFonts w:ascii="Times New Roman" w:eastAsia="SimSun" w:hAnsi="Times New Roman" w:cs="Times New Roman"/>
        </w:rPr>
        <w:t>Ennser-Jedenastik</w:t>
      </w:r>
      <w:proofErr w:type="spellEnd"/>
      <w:r w:rsidRPr="00FE6BB3">
        <w:rPr>
          <w:rFonts w:ascii="Times New Roman" w:eastAsia="SimSun" w:hAnsi="Times New Roman" w:cs="Times New Roman"/>
        </w:rPr>
        <w:t xml:space="preserve"> (2014).</w:t>
      </w:r>
    </w:p>
  </w:footnote>
  <w:footnote w:id="17">
    <w:p w14:paraId="3F187F57" w14:textId="77777777" w:rsidR="00315077" w:rsidRPr="00FE6BB3" w:rsidRDefault="00315077" w:rsidP="008E0CD3">
      <w:pPr>
        <w:pStyle w:val="FootnoteText"/>
        <w:rPr>
          <w:rFonts w:ascii="Times New Roman" w:hAnsi="Times New Roman" w:cs="Times New Roman"/>
        </w:rPr>
      </w:pPr>
      <w:r w:rsidRPr="00FE6BB3">
        <w:rPr>
          <w:rStyle w:val="FootnoteReference"/>
          <w:rFonts w:ascii="Times New Roman" w:hAnsi="Times New Roman" w:cs="Times New Roman"/>
        </w:rPr>
        <w:footnoteRef/>
      </w:r>
      <w:r w:rsidRPr="00FE6BB3">
        <w:rPr>
          <w:rFonts w:ascii="Times New Roman" w:hAnsi="Times New Roman" w:cs="Times New Roman"/>
        </w:rPr>
        <w:t xml:space="preserve"> </w:t>
      </w:r>
      <w:r w:rsidRPr="00FE6BB3">
        <w:rPr>
          <w:rFonts w:ascii="Times New Roman" w:eastAsia="SimSun" w:hAnsi="Times New Roman" w:cs="Times New Roman"/>
        </w:rPr>
        <w:t xml:space="preserve">SASAC, established in 2003 </w:t>
      </w:r>
      <w:r>
        <w:rPr>
          <w:rFonts w:ascii="Times New Roman" w:eastAsia="SimSun" w:hAnsi="Times New Roman" w:cs="Times New Roman"/>
        </w:rPr>
        <w:t>as a special commission of</w:t>
      </w:r>
      <w:r w:rsidRPr="00FE6BB3">
        <w:rPr>
          <w:rFonts w:ascii="Times New Roman" w:eastAsia="SimSun" w:hAnsi="Times New Roman" w:cs="Times New Roman"/>
        </w:rPr>
        <w:t xml:space="preserve"> the State Council, is responsible for overseeing China’s central SOEs. A current list of central SOEs (in Chinese) is available at http://www.sasac.gov.cn/n2588035/n2641579/n2641645/index.html. </w:t>
      </w:r>
      <w:r w:rsidRPr="00FE6BB3">
        <w:rPr>
          <w:rFonts w:ascii="Times New Roman" w:eastAsia="SimSun" w:hAnsi="Times New Roman" w:cs="Times New Roman"/>
          <w:lang w:eastAsia="zh-CN"/>
        </w:rPr>
        <w:t xml:space="preserve"> </w:t>
      </w:r>
    </w:p>
  </w:footnote>
  <w:footnote w:id="18">
    <w:p w14:paraId="29D9F849" w14:textId="77777777" w:rsidR="00315077" w:rsidRPr="00FE6BB3" w:rsidRDefault="00315077" w:rsidP="008E0CD3">
      <w:pPr>
        <w:pStyle w:val="FootnoteText"/>
        <w:snapToGrid w:val="0"/>
        <w:rPr>
          <w:rFonts w:ascii="Times New Roman" w:eastAsia="SimSun" w:hAnsi="Times New Roman" w:cs="Times New Roman"/>
        </w:rPr>
      </w:pPr>
      <w:r w:rsidRPr="00FE6BB3">
        <w:rPr>
          <w:rStyle w:val="FootnoteReference"/>
          <w:rFonts w:ascii="Times New Roman" w:eastAsia="SimSun" w:hAnsi="Times New Roman" w:cs="Times New Roman"/>
        </w:rPr>
        <w:footnoteRef/>
      </w:r>
      <w:r w:rsidRPr="00FE6BB3">
        <w:rPr>
          <w:rFonts w:ascii="Times New Roman" w:eastAsia="SimSun" w:hAnsi="Times New Roman" w:cs="Times New Roman"/>
        </w:rPr>
        <w:t xml:space="preserve"> See </w:t>
      </w:r>
      <w:proofErr w:type="spellStart"/>
      <w:r w:rsidRPr="00FE6BB3">
        <w:rPr>
          <w:rStyle w:val="Emphasis"/>
          <w:rFonts w:ascii="Times New Roman" w:eastAsia="SimSun" w:hAnsi="Times New Roman" w:cs="Times New Roman"/>
          <w:i w:val="0"/>
          <w:shd w:val="clear" w:color="auto" w:fill="FFFFFF"/>
        </w:rPr>
        <w:t>Brødsgaard</w:t>
      </w:r>
      <w:proofErr w:type="spellEnd"/>
      <w:r w:rsidRPr="00FE6BB3">
        <w:rPr>
          <w:rStyle w:val="Emphasis"/>
          <w:rFonts w:ascii="Times New Roman" w:eastAsia="SimSun" w:hAnsi="Times New Roman" w:cs="Times New Roman"/>
          <w:i w:val="0"/>
          <w:shd w:val="clear" w:color="auto" w:fill="FFFFFF"/>
        </w:rPr>
        <w:t xml:space="preserve"> (2012) for a list of the core central SOEs.</w:t>
      </w:r>
      <w:r w:rsidRPr="00FE6BB3">
        <w:rPr>
          <w:rStyle w:val="Emphasis"/>
          <w:rFonts w:ascii="Times New Roman" w:eastAsia="SimSun" w:hAnsi="Times New Roman" w:cs="Times New Roman"/>
          <w:shd w:val="clear" w:color="auto" w:fill="FFFFFF"/>
        </w:rPr>
        <w:t xml:space="preserve"> </w:t>
      </w:r>
    </w:p>
  </w:footnote>
  <w:footnote w:id="19">
    <w:p w14:paraId="2A16CD88" w14:textId="77777777" w:rsidR="00315077" w:rsidRPr="00FE6BB3" w:rsidRDefault="00315077" w:rsidP="008E0CD3">
      <w:pPr>
        <w:pStyle w:val="FootnoteText"/>
        <w:rPr>
          <w:rFonts w:ascii="Times New Roman" w:hAnsi="Times New Roman" w:cs="Times New Roman"/>
          <w:lang w:eastAsia="zh-CN"/>
        </w:rPr>
      </w:pPr>
      <w:r w:rsidRPr="00FE6BB3">
        <w:rPr>
          <w:rStyle w:val="FootnoteReference"/>
          <w:rFonts w:ascii="Times New Roman" w:hAnsi="Times New Roman" w:cs="Times New Roman"/>
        </w:rPr>
        <w:footnoteRef/>
      </w:r>
      <w:r w:rsidRPr="00FE6BB3">
        <w:rPr>
          <w:rFonts w:ascii="Times New Roman" w:hAnsi="Times New Roman" w:cs="Times New Roman"/>
        </w:rPr>
        <w:t xml:space="preserve"> </w:t>
      </w:r>
      <w:r w:rsidRPr="00FE6BB3">
        <w:rPr>
          <w:rFonts w:ascii="Times New Roman" w:hAnsi="Times New Roman" w:cs="Times New Roman"/>
          <w:lang w:eastAsia="zh-CN"/>
        </w:rPr>
        <w:t>The Chinese bureaucracy has 27 ranks divided into 11 different levels. Leaders of core central SOEs are of vice-ministerial rank equivalence, on the same level as prefecture-level city leaders. Vice-ministerial rank is</w:t>
      </w:r>
      <w:r>
        <w:rPr>
          <w:rFonts w:ascii="Times New Roman" w:hAnsi="Times New Roman" w:cs="Times New Roman"/>
          <w:lang w:eastAsia="zh-CN"/>
        </w:rPr>
        <w:t xml:space="preserve"> typically</w:t>
      </w:r>
      <w:r w:rsidRPr="00FE6BB3">
        <w:rPr>
          <w:rFonts w:ascii="Times New Roman" w:hAnsi="Times New Roman" w:cs="Times New Roman"/>
          <w:lang w:eastAsia="zh-CN"/>
        </w:rPr>
        <w:t xml:space="preserve"> the highest possible rank for Chinese SOE leaders</w:t>
      </w:r>
      <w:r>
        <w:rPr>
          <w:rFonts w:ascii="Times New Roman" w:hAnsi="Times New Roman" w:cs="Times New Roman"/>
          <w:lang w:eastAsia="zh-CN"/>
        </w:rPr>
        <w:t>. There are a handful of executives who hold a higher rank by virtue of their previous positions, but such cases are rare. Leutert (2018), 5.</w:t>
      </w:r>
    </w:p>
  </w:footnote>
  <w:footnote w:id="20">
    <w:p w14:paraId="47D7990C" w14:textId="77777777" w:rsidR="00315077" w:rsidRPr="00FE6BB3" w:rsidRDefault="00315077" w:rsidP="008E0CD3">
      <w:pPr>
        <w:pStyle w:val="FootnoteText"/>
        <w:rPr>
          <w:rFonts w:ascii="Times New Roman" w:hAnsi="Times New Roman" w:cs="Times New Roman"/>
        </w:rPr>
      </w:pPr>
      <w:r w:rsidRPr="00FE6BB3">
        <w:rPr>
          <w:rStyle w:val="FootnoteReference"/>
          <w:rFonts w:ascii="Times New Roman" w:hAnsi="Times New Roman" w:cs="Times New Roman"/>
        </w:rPr>
        <w:footnoteRef/>
      </w:r>
      <w:r w:rsidRPr="00FE6BB3">
        <w:rPr>
          <w:rFonts w:ascii="Times New Roman" w:hAnsi="Times New Roman" w:cs="Times New Roman"/>
        </w:rPr>
        <w:t xml:space="preserve"> </w:t>
      </w:r>
      <w:r w:rsidRPr="00FE6BB3">
        <w:rPr>
          <w:rFonts w:ascii="Times New Roman" w:eastAsia="SimSun" w:hAnsi="Times New Roman" w:cs="Times New Roman"/>
        </w:rPr>
        <w:t>Hsueh (2011).</w:t>
      </w:r>
    </w:p>
  </w:footnote>
  <w:footnote w:id="21">
    <w:p w14:paraId="35173581" w14:textId="77777777" w:rsidR="00315077" w:rsidRPr="00FE6BB3" w:rsidRDefault="00315077" w:rsidP="008E0CD3">
      <w:pPr>
        <w:pStyle w:val="FootnoteText"/>
        <w:rPr>
          <w:rFonts w:ascii="Times New Roman" w:hAnsi="Times New Roman" w:cs="Times New Roman"/>
        </w:rPr>
      </w:pPr>
      <w:r w:rsidRPr="00FE6BB3">
        <w:rPr>
          <w:rStyle w:val="FootnoteReference"/>
          <w:rFonts w:ascii="Times New Roman" w:hAnsi="Times New Roman" w:cs="Times New Roman"/>
        </w:rPr>
        <w:footnoteRef/>
      </w:r>
      <w:r w:rsidRPr="00FE6BB3">
        <w:rPr>
          <w:rFonts w:ascii="Times New Roman" w:hAnsi="Times New Roman" w:cs="Times New Roman"/>
        </w:rPr>
        <w:t xml:space="preserve"> OECD (2017).</w:t>
      </w:r>
    </w:p>
  </w:footnote>
  <w:footnote w:id="22">
    <w:p w14:paraId="566C6F07" w14:textId="77777777" w:rsidR="00315077" w:rsidRPr="00FE6BB3" w:rsidRDefault="00315077" w:rsidP="008E0CD3">
      <w:pPr>
        <w:pStyle w:val="FootnoteText"/>
        <w:rPr>
          <w:rFonts w:ascii="Times New Roman" w:hAnsi="Times New Roman" w:cs="Times New Roman"/>
        </w:rPr>
      </w:pPr>
      <w:r w:rsidRPr="00FE6BB3">
        <w:rPr>
          <w:rStyle w:val="FootnoteReference"/>
          <w:rFonts w:ascii="Times New Roman" w:hAnsi="Times New Roman" w:cs="Times New Roman"/>
        </w:rPr>
        <w:footnoteRef/>
      </w:r>
      <w:r w:rsidRPr="00FE6BB3">
        <w:rPr>
          <w:rFonts w:ascii="Times New Roman" w:hAnsi="Times New Roman" w:cs="Times New Roman"/>
        </w:rPr>
        <w:t xml:space="preserve"> </w:t>
      </w:r>
      <w:r w:rsidRPr="00FE6BB3">
        <w:rPr>
          <w:rFonts w:ascii="Times New Roman" w:eastAsia="SimSun" w:hAnsi="Times New Roman" w:cs="Times New Roman"/>
        </w:rPr>
        <w:t>Lin and Milhaupt (2013).</w:t>
      </w:r>
    </w:p>
  </w:footnote>
  <w:footnote w:id="23">
    <w:p w14:paraId="18EC3F3B" w14:textId="77777777" w:rsidR="00315077" w:rsidRPr="004761B1" w:rsidRDefault="00315077" w:rsidP="008E0CD3">
      <w:pPr>
        <w:pStyle w:val="FootnoteText"/>
        <w:rPr>
          <w:rFonts w:ascii="Times New Roman" w:hAnsi="Times New Roman" w:cs="Times New Roman"/>
        </w:rPr>
      </w:pPr>
      <w:r w:rsidRPr="00FE6BB3">
        <w:rPr>
          <w:rStyle w:val="FootnoteReference"/>
          <w:rFonts w:ascii="Times New Roman" w:hAnsi="Times New Roman" w:cs="Times New Roman"/>
        </w:rPr>
        <w:footnoteRef/>
      </w:r>
      <w:r w:rsidRPr="00FE6BB3">
        <w:rPr>
          <w:rFonts w:ascii="Times New Roman" w:hAnsi="Times New Roman" w:cs="Times New Roman"/>
        </w:rPr>
        <w:t xml:space="preserve"> </w:t>
      </w:r>
      <w:proofErr w:type="spellStart"/>
      <w:r w:rsidRPr="00FE6BB3">
        <w:rPr>
          <w:rFonts w:ascii="Times New Roman" w:eastAsia="SimSun" w:hAnsi="Times New Roman" w:cs="Times New Roman"/>
        </w:rPr>
        <w:t>Brødsgaard</w:t>
      </w:r>
      <w:proofErr w:type="spellEnd"/>
      <w:r w:rsidRPr="00FE6BB3">
        <w:rPr>
          <w:rFonts w:ascii="Times New Roman" w:eastAsia="SimSun" w:hAnsi="Times New Roman" w:cs="Times New Roman"/>
        </w:rPr>
        <w:t xml:space="preserve"> (2012), 633-634. </w:t>
      </w:r>
      <w:r w:rsidRPr="00FE6BB3">
        <w:rPr>
          <w:rFonts w:ascii="Times New Roman" w:eastAsia="SimSun" w:hAnsi="Times New Roman" w:cs="Times New Roman"/>
          <w:lang w:eastAsia="zh-CN"/>
        </w:rPr>
        <w:t xml:space="preserve">This division of authority over enterprise administration (granted to SASAC) and top-level personnel management (reserved for the COD) was a political compromise reached after debate in the 1990s and early 2000s over the design of a central-level system to manage state-owned assets. </w:t>
      </w:r>
      <w:r w:rsidRPr="00FE6BB3">
        <w:rPr>
          <w:rFonts w:ascii="Times New Roman" w:eastAsia="SimSun" w:hAnsi="Times New Roman" w:cs="Times New Roman"/>
        </w:rPr>
        <w:t xml:space="preserve">For discussion of the specific methods the COD proposed to ensure continued Party participation and influence in SOE decision-making in the decade leading up to SASAC’s establishment, see COD </w:t>
      </w:r>
      <w:r>
        <w:rPr>
          <w:rFonts w:ascii="Times New Roman" w:eastAsia="SimSun" w:hAnsi="Times New Roman" w:cs="Times New Roman"/>
        </w:rPr>
        <w:t>(</w:t>
      </w:r>
      <w:r w:rsidRPr="004761B1">
        <w:rPr>
          <w:rFonts w:ascii="Times New Roman" w:eastAsia="SimSun" w:hAnsi="Times New Roman" w:cs="Times New Roman"/>
        </w:rPr>
        <w:t>1993</w:t>
      </w:r>
      <w:r>
        <w:rPr>
          <w:rFonts w:ascii="Times New Roman" w:eastAsia="SimSun" w:hAnsi="Times New Roman" w:cs="Times New Roman"/>
        </w:rPr>
        <w:t>),</w:t>
      </w:r>
      <w:r w:rsidRPr="004761B1">
        <w:rPr>
          <w:rFonts w:ascii="Times New Roman" w:eastAsia="SimSun" w:hAnsi="Times New Roman" w:cs="Times New Roman"/>
        </w:rPr>
        <w:t xml:space="preserve"> 139-153.</w:t>
      </w:r>
    </w:p>
  </w:footnote>
  <w:footnote w:id="24">
    <w:p w14:paraId="3A426C30" w14:textId="77777777" w:rsidR="00315077" w:rsidRPr="004761B1" w:rsidRDefault="00315077" w:rsidP="008E0CD3">
      <w:pPr>
        <w:pStyle w:val="FootnoteText"/>
        <w:snapToGrid w:val="0"/>
        <w:rPr>
          <w:rFonts w:ascii="Times New Roman" w:eastAsia="SimSun" w:hAnsi="Times New Roman" w:cs="Times New Roman"/>
          <w:lang w:eastAsia="zh-CN"/>
        </w:rPr>
      </w:pPr>
      <w:r w:rsidRPr="004761B1">
        <w:rPr>
          <w:rStyle w:val="FootnoteReference"/>
          <w:rFonts w:ascii="Times New Roman" w:eastAsia="SimSun" w:hAnsi="Times New Roman" w:cs="Times New Roman"/>
        </w:rPr>
        <w:footnoteRef/>
      </w:r>
      <w:r w:rsidRPr="004761B1">
        <w:rPr>
          <w:rFonts w:ascii="Times New Roman" w:eastAsia="SimSun" w:hAnsi="Times New Roman" w:cs="Times New Roman"/>
        </w:rPr>
        <w:t xml:space="preserve"> </w:t>
      </w:r>
      <w:r w:rsidRPr="004761B1">
        <w:rPr>
          <w:rFonts w:ascii="Times New Roman" w:eastAsia="SimSun" w:hAnsi="Times New Roman" w:cs="Times New Roman"/>
          <w:lang w:eastAsia="zh-CN"/>
        </w:rPr>
        <w:t xml:space="preserve">Only two female executives appear in our dataset: Wang </w:t>
      </w:r>
      <w:proofErr w:type="spellStart"/>
      <w:r w:rsidRPr="004761B1">
        <w:rPr>
          <w:rFonts w:ascii="Times New Roman" w:eastAsia="SimSun" w:hAnsi="Times New Roman" w:cs="Times New Roman"/>
          <w:lang w:eastAsia="zh-CN"/>
        </w:rPr>
        <w:t>Yinxiang</w:t>
      </w:r>
      <w:proofErr w:type="spellEnd"/>
      <w:r w:rsidRPr="004761B1">
        <w:rPr>
          <w:rFonts w:ascii="Times New Roman" w:eastAsia="SimSun" w:hAnsi="Times New Roman" w:cs="Times New Roman"/>
          <w:lang w:eastAsia="zh-CN"/>
        </w:rPr>
        <w:t xml:space="preserve"> of China Aviation Group Corporation and </w:t>
      </w:r>
      <w:proofErr w:type="spellStart"/>
      <w:r w:rsidRPr="004761B1">
        <w:rPr>
          <w:rFonts w:ascii="Times New Roman" w:eastAsia="SimSun" w:hAnsi="Times New Roman" w:cs="Times New Roman"/>
          <w:lang w:eastAsia="zh-CN"/>
        </w:rPr>
        <w:t>Xie</w:t>
      </w:r>
      <w:proofErr w:type="spellEnd"/>
      <w:r w:rsidRPr="004761B1">
        <w:rPr>
          <w:rFonts w:ascii="Times New Roman" w:eastAsia="SimSun" w:hAnsi="Times New Roman" w:cs="Times New Roman"/>
          <w:lang w:eastAsia="zh-CN"/>
        </w:rPr>
        <w:t xml:space="preserve"> </w:t>
      </w:r>
      <w:proofErr w:type="spellStart"/>
      <w:r w:rsidRPr="004761B1">
        <w:rPr>
          <w:rFonts w:ascii="Times New Roman" w:eastAsia="SimSun" w:hAnsi="Times New Roman" w:cs="Times New Roman"/>
          <w:lang w:eastAsia="zh-CN"/>
        </w:rPr>
        <w:t>Qihua</w:t>
      </w:r>
      <w:proofErr w:type="spellEnd"/>
      <w:r w:rsidRPr="004761B1">
        <w:rPr>
          <w:rFonts w:ascii="Times New Roman" w:eastAsia="SimSun" w:hAnsi="Times New Roman" w:cs="Times New Roman"/>
          <w:lang w:eastAsia="zh-CN"/>
        </w:rPr>
        <w:t xml:space="preserve"> of </w:t>
      </w:r>
      <w:proofErr w:type="spellStart"/>
      <w:r w:rsidRPr="004761B1">
        <w:rPr>
          <w:rFonts w:ascii="Times New Roman" w:eastAsia="SimSun" w:hAnsi="Times New Roman" w:cs="Times New Roman"/>
          <w:lang w:eastAsia="zh-CN"/>
        </w:rPr>
        <w:t>Baosteel</w:t>
      </w:r>
      <w:proofErr w:type="spellEnd"/>
      <w:r w:rsidRPr="004761B1">
        <w:rPr>
          <w:rFonts w:ascii="Times New Roman" w:eastAsia="SimSun" w:hAnsi="Times New Roman" w:cs="Times New Roman"/>
          <w:lang w:eastAsia="zh-CN"/>
        </w:rPr>
        <w:t xml:space="preserve"> (now </w:t>
      </w:r>
      <w:proofErr w:type="spellStart"/>
      <w:r w:rsidRPr="004761B1">
        <w:rPr>
          <w:rFonts w:ascii="Times New Roman" w:eastAsia="SimSun" w:hAnsi="Times New Roman" w:cs="Times New Roman"/>
          <w:lang w:eastAsia="zh-CN"/>
        </w:rPr>
        <w:t>Baowu</w:t>
      </w:r>
      <w:proofErr w:type="spellEnd"/>
      <w:r w:rsidRPr="004761B1">
        <w:rPr>
          <w:rFonts w:ascii="Times New Roman" w:eastAsia="SimSun" w:hAnsi="Times New Roman" w:cs="Times New Roman"/>
          <w:lang w:eastAsia="zh-CN"/>
        </w:rPr>
        <w:t xml:space="preserve"> Steel).</w:t>
      </w:r>
    </w:p>
  </w:footnote>
  <w:footnote w:id="25">
    <w:p w14:paraId="213D384B" w14:textId="77777777" w:rsidR="00315077" w:rsidRPr="004761B1" w:rsidRDefault="00315077" w:rsidP="008E0CD3">
      <w:pPr>
        <w:pStyle w:val="FootnoteText"/>
        <w:rPr>
          <w:rFonts w:ascii="Times New Roman" w:hAnsi="Times New Roman" w:cs="Times New Roman"/>
        </w:rPr>
      </w:pPr>
      <w:r w:rsidRPr="004761B1">
        <w:rPr>
          <w:rStyle w:val="FootnoteReference"/>
          <w:rFonts w:ascii="Times New Roman" w:hAnsi="Times New Roman" w:cs="Times New Roman"/>
        </w:rPr>
        <w:footnoteRef/>
      </w:r>
      <w:r w:rsidRPr="004761B1">
        <w:rPr>
          <w:rFonts w:ascii="Times New Roman" w:hAnsi="Times New Roman" w:cs="Times New Roman"/>
        </w:rPr>
        <w:t xml:space="preserve"> </w:t>
      </w:r>
      <w:r w:rsidRPr="004761B1">
        <w:rPr>
          <w:rFonts w:ascii="Times New Roman" w:eastAsia="SimSun" w:hAnsi="Times New Roman" w:cs="Times New Roman"/>
        </w:rPr>
        <w:t>Bo (2013), 67.</w:t>
      </w:r>
    </w:p>
  </w:footnote>
  <w:footnote w:id="26">
    <w:p w14:paraId="44A55A54" w14:textId="77777777" w:rsidR="00315077" w:rsidRPr="004761B1" w:rsidRDefault="00315077" w:rsidP="008E0CD3">
      <w:pPr>
        <w:pStyle w:val="FootnoteText"/>
        <w:rPr>
          <w:rFonts w:ascii="Times New Roman" w:hAnsi="Times New Roman" w:cs="Times New Roman"/>
        </w:rPr>
      </w:pPr>
      <w:r w:rsidRPr="004761B1">
        <w:rPr>
          <w:rStyle w:val="FootnoteReference"/>
          <w:rFonts w:ascii="Times New Roman" w:hAnsi="Times New Roman" w:cs="Times New Roman"/>
        </w:rPr>
        <w:footnoteRef/>
      </w:r>
      <w:r w:rsidRPr="004761B1">
        <w:rPr>
          <w:rFonts w:ascii="Times New Roman" w:hAnsi="Times New Roman" w:cs="Times New Roman"/>
        </w:rPr>
        <w:t xml:space="preserve"> Between 2003 and 2012, 4.3 per cent of core central SOE leaders were transferred to vice-ministerial rank positions and .4 per cent were promoted, compared with rates of 8.7 per cent lateral transfer and 4.0 per cent promotion for executive vice-governors (vice-governors serving on a provincial standing committee) with the equivalent vice-ministerial rank. </w:t>
      </w:r>
      <w:r w:rsidRPr="001D07D2">
        <w:rPr>
          <w:rFonts w:ascii="Times New Roman" w:hAnsi="Times New Roman" w:cs="Times New Roman"/>
        </w:rPr>
        <w:t>Meyer</w:t>
      </w:r>
      <w:r>
        <w:rPr>
          <w:rFonts w:ascii="Times New Roman" w:hAnsi="Times New Roman" w:cs="Times New Roman"/>
        </w:rPr>
        <w:t>,</w:t>
      </w:r>
      <w:r w:rsidRPr="001D07D2">
        <w:rPr>
          <w:rFonts w:ascii="Times New Roman" w:hAnsi="Times New Roman" w:cs="Times New Roman"/>
        </w:rPr>
        <w:t xml:space="preserve"> </w:t>
      </w:r>
      <w:r w:rsidRPr="004761B1">
        <w:rPr>
          <w:rFonts w:ascii="Times New Roman" w:hAnsi="Times New Roman" w:cs="Times New Roman"/>
        </w:rPr>
        <w:t xml:space="preserve">Shih and Lee </w:t>
      </w:r>
      <w:r>
        <w:rPr>
          <w:rFonts w:ascii="Times New Roman" w:hAnsi="Times New Roman" w:cs="Times New Roman"/>
        </w:rPr>
        <w:t>(</w:t>
      </w:r>
      <w:r w:rsidRPr="004761B1">
        <w:rPr>
          <w:rFonts w:ascii="Times New Roman" w:hAnsi="Times New Roman" w:cs="Times New Roman"/>
        </w:rPr>
        <w:t>2016</w:t>
      </w:r>
      <w:r>
        <w:rPr>
          <w:rFonts w:ascii="Times New Roman" w:hAnsi="Times New Roman" w:cs="Times New Roman"/>
        </w:rPr>
        <w:t>)</w:t>
      </w:r>
      <w:r w:rsidRPr="004761B1">
        <w:rPr>
          <w:rFonts w:ascii="Times New Roman" w:hAnsi="Times New Roman" w:cs="Times New Roman"/>
        </w:rPr>
        <w:t xml:space="preserve">. Of core central SOE leaders serving between 2003 and 2012, 10.1 percent exceeded the mandatory retirement age of 60. In contrast, only about 1 percent of mayors and municipal Party secretaries between 2000 and 2010 and less than 1 percent of provincial Party secretaries and no provincial governors between 2003 and 2012 exceeded it. </w:t>
      </w:r>
      <w:proofErr w:type="spellStart"/>
      <w:r w:rsidRPr="004761B1">
        <w:rPr>
          <w:rFonts w:ascii="Times New Roman" w:hAnsi="Times New Roman" w:cs="Times New Roman"/>
        </w:rPr>
        <w:t>Vortherms</w:t>
      </w:r>
      <w:proofErr w:type="spellEnd"/>
      <w:r w:rsidRPr="004761B1">
        <w:rPr>
          <w:rFonts w:ascii="Times New Roman" w:hAnsi="Times New Roman" w:cs="Times New Roman"/>
        </w:rPr>
        <w:t xml:space="preserve"> </w:t>
      </w:r>
      <w:r>
        <w:rPr>
          <w:rFonts w:ascii="Times New Roman" w:hAnsi="Times New Roman" w:cs="Times New Roman"/>
        </w:rPr>
        <w:t>(</w:t>
      </w:r>
      <w:r w:rsidRPr="004761B1">
        <w:rPr>
          <w:rFonts w:ascii="Times New Roman" w:hAnsi="Times New Roman" w:cs="Times New Roman"/>
        </w:rPr>
        <w:t>2019</w:t>
      </w:r>
      <w:r>
        <w:rPr>
          <w:rFonts w:ascii="Times New Roman" w:hAnsi="Times New Roman" w:cs="Times New Roman"/>
        </w:rPr>
        <w:t>)</w:t>
      </w:r>
      <w:r w:rsidRPr="004761B1">
        <w:rPr>
          <w:rFonts w:ascii="Times New Roman" w:hAnsi="Times New Roman" w:cs="Times New Roman"/>
        </w:rPr>
        <w:t>; provincial official statistics provided by Li-</w:t>
      </w:r>
      <w:proofErr w:type="gramStart"/>
      <w:r w:rsidRPr="004761B1">
        <w:rPr>
          <w:rFonts w:ascii="Times New Roman" w:hAnsi="Times New Roman" w:cs="Times New Roman"/>
        </w:rPr>
        <w:t>an</w:t>
      </w:r>
      <w:proofErr w:type="gramEnd"/>
      <w:r w:rsidRPr="004761B1">
        <w:rPr>
          <w:rFonts w:ascii="Times New Roman" w:hAnsi="Times New Roman" w:cs="Times New Roman"/>
        </w:rPr>
        <w:t xml:space="preserve"> Zhou, Peking University, via personal correspondence in 2016.</w:t>
      </w:r>
    </w:p>
  </w:footnote>
  <w:footnote w:id="27">
    <w:p w14:paraId="1687347D" w14:textId="77777777" w:rsidR="00315077" w:rsidRPr="004761B1" w:rsidRDefault="00315077" w:rsidP="008E0CD3">
      <w:pPr>
        <w:pStyle w:val="FootnoteText"/>
        <w:rPr>
          <w:rFonts w:ascii="Times New Roman" w:hAnsi="Times New Roman" w:cs="Times New Roman"/>
        </w:rPr>
      </w:pPr>
      <w:r w:rsidRPr="004761B1">
        <w:rPr>
          <w:rStyle w:val="FootnoteReference"/>
          <w:rFonts w:ascii="Times New Roman" w:hAnsi="Times New Roman" w:cs="Times New Roman"/>
        </w:rPr>
        <w:footnoteRef/>
      </w:r>
      <w:r w:rsidRPr="004761B1">
        <w:rPr>
          <w:rFonts w:ascii="Times New Roman" w:hAnsi="Times New Roman" w:cs="Times New Roman"/>
        </w:rPr>
        <w:t xml:space="preserve"> Li </w:t>
      </w:r>
      <w:r>
        <w:rPr>
          <w:rFonts w:ascii="Times New Roman" w:hAnsi="Times New Roman" w:cs="Times New Roman"/>
        </w:rPr>
        <w:t>(</w:t>
      </w:r>
      <w:r w:rsidRPr="004761B1">
        <w:rPr>
          <w:rFonts w:ascii="Times New Roman" w:hAnsi="Times New Roman" w:cs="Times New Roman"/>
        </w:rPr>
        <w:t>2019</w:t>
      </w:r>
      <w:r>
        <w:rPr>
          <w:rFonts w:ascii="Times New Roman" w:hAnsi="Times New Roman" w:cs="Times New Roman"/>
        </w:rPr>
        <w:t>)</w:t>
      </w:r>
      <w:r w:rsidRPr="004761B1">
        <w:rPr>
          <w:rFonts w:ascii="Times New Roman" w:hAnsi="Times New Roman" w:cs="Times New Roman"/>
        </w:rPr>
        <w:t xml:space="preserve">. </w:t>
      </w:r>
      <w:r>
        <w:rPr>
          <w:rFonts w:ascii="Times New Roman" w:hAnsi="Times New Roman" w:cs="Times New Roman"/>
        </w:rPr>
        <w:t xml:space="preserve">The authors are not aware of any core central SOE leaders who have assumed a formal position in a private company after their exit.  </w:t>
      </w:r>
    </w:p>
  </w:footnote>
  <w:footnote w:id="28">
    <w:p w14:paraId="5BF56F6F" w14:textId="77777777" w:rsidR="00315077" w:rsidRPr="004761B1" w:rsidRDefault="00315077" w:rsidP="008E0CD3">
      <w:pPr>
        <w:pStyle w:val="FootnoteText"/>
        <w:rPr>
          <w:rFonts w:ascii="Times New Roman" w:hAnsi="Times New Roman" w:cs="Times New Roman"/>
        </w:rPr>
      </w:pPr>
      <w:r w:rsidRPr="004761B1">
        <w:rPr>
          <w:rStyle w:val="FootnoteReference"/>
          <w:rFonts w:ascii="Times New Roman" w:hAnsi="Times New Roman" w:cs="Times New Roman"/>
        </w:rPr>
        <w:footnoteRef/>
      </w:r>
      <w:r w:rsidRPr="004761B1">
        <w:rPr>
          <w:rFonts w:ascii="Times New Roman" w:hAnsi="Times New Roman" w:cs="Times New Roman"/>
        </w:rPr>
        <w:t xml:space="preserve"> </w:t>
      </w:r>
      <w:r w:rsidRPr="004761B1">
        <w:rPr>
          <w:rFonts w:ascii="Times New Roman" w:eastAsia="SimSun" w:hAnsi="Times New Roman" w:cs="Times New Roman"/>
        </w:rPr>
        <w:t xml:space="preserve">Landry (2008); Landry, </w:t>
      </w:r>
      <w:proofErr w:type="spellStart"/>
      <w:r w:rsidRPr="004761B1">
        <w:rPr>
          <w:rFonts w:ascii="Times New Roman" w:hAnsi="Times New Roman" w:cs="Times New Roman"/>
        </w:rPr>
        <w:t>Lü</w:t>
      </w:r>
      <w:proofErr w:type="spellEnd"/>
      <w:r w:rsidRPr="004761B1">
        <w:rPr>
          <w:rFonts w:ascii="Times New Roman" w:eastAsia="SimSun" w:hAnsi="Times New Roman" w:cs="Times New Roman"/>
        </w:rPr>
        <w:t xml:space="preserve"> and Duan (2018); Li and Zhou (2005); </w:t>
      </w:r>
      <w:proofErr w:type="spellStart"/>
      <w:r w:rsidRPr="004761B1">
        <w:rPr>
          <w:rFonts w:ascii="Times New Roman" w:eastAsia="SimSun" w:hAnsi="Times New Roman" w:cs="Times New Roman"/>
        </w:rPr>
        <w:t>Maskin</w:t>
      </w:r>
      <w:proofErr w:type="spellEnd"/>
      <w:r w:rsidRPr="004761B1">
        <w:rPr>
          <w:rFonts w:ascii="Times New Roman" w:eastAsia="SimSun" w:hAnsi="Times New Roman" w:cs="Times New Roman"/>
        </w:rPr>
        <w:t>, Qian and Xu (2000).</w:t>
      </w:r>
    </w:p>
  </w:footnote>
  <w:footnote w:id="29">
    <w:p w14:paraId="71C0CEDC" w14:textId="77777777" w:rsidR="00315077" w:rsidRPr="004761B1" w:rsidRDefault="00315077" w:rsidP="008E0CD3">
      <w:pPr>
        <w:pStyle w:val="FootnoteText"/>
        <w:rPr>
          <w:rFonts w:ascii="Times New Roman" w:hAnsi="Times New Roman" w:cs="Times New Roman"/>
        </w:rPr>
      </w:pPr>
      <w:r w:rsidRPr="004761B1">
        <w:rPr>
          <w:rStyle w:val="FootnoteReference"/>
          <w:rFonts w:ascii="Times New Roman" w:hAnsi="Times New Roman" w:cs="Times New Roman"/>
        </w:rPr>
        <w:footnoteRef/>
      </w:r>
      <w:r w:rsidRPr="004761B1">
        <w:rPr>
          <w:rFonts w:ascii="Times New Roman" w:hAnsi="Times New Roman" w:cs="Times New Roman"/>
        </w:rPr>
        <w:t xml:space="preserve"> </w:t>
      </w:r>
      <w:r w:rsidRPr="004761B1">
        <w:rPr>
          <w:rFonts w:ascii="Times New Roman" w:eastAsia="SimSun" w:hAnsi="Times New Roman" w:cs="Times New Roman"/>
        </w:rPr>
        <w:t>Zhou (2018).</w:t>
      </w:r>
    </w:p>
  </w:footnote>
  <w:footnote w:id="30">
    <w:p w14:paraId="0CCCD073" w14:textId="77777777" w:rsidR="00315077" w:rsidRPr="004761B1" w:rsidRDefault="00315077" w:rsidP="008E0CD3">
      <w:pPr>
        <w:pStyle w:val="FootnoteText"/>
        <w:rPr>
          <w:rFonts w:ascii="Times New Roman" w:hAnsi="Times New Roman" w:cs="Times New Roman"/>
        </w:rPr>
      </w:pPr>
      <w:r w:rsidRPr="004761B1">
        <w:rPr>
          <w:rStyle w:val="FootnoteReference"/>
          <w:rFonts w:ascii="Times New Roman" w:hAnsi="Times New Roman" w:cs="Times New Roman"/>
        </w:rPr>
        <w:footnoteRef/>
      </w:r>
      <w:r w:rsidRPr="004761B1">
        <w:rPr>
          <w:rFonts w:ascii="Times New Roman" w:hAnsi="Times New Roman" w:cs="Times New Roman"/>
        </w:rPr>
        <w:t xml:space="preserve"> </w:t>
      </w:r>
      <w:r w:rsidRPr="004761B1">
        <w:rPr>
          <w:rFonts w:ascii="Times New Roman" w:eastAsia="SimSun" w:hAnsi="Times New Roman" w:cs="Times New Roman"/>
        </w:rPr>
        <w:t>Chen (2006); Landry (2003); Shih, Adolph, and Liu (2012).</w:t>
      </w:r>
    </w:p>
  </w:footnote>
  <w:footnote w:id="31">
    <w:p w14:paraId="28658F70" w14:textId="77777777" w:rsidR="00315077" w:rsidRPr="004761B1" w:rsidRDefault="00315077" w:rsidP="008E0CD3">
      <w:pPr>
        <w:pStyle w:val="FootnoteText"/>
        <w:rPr>
          <w:rFonts w:ascii="Times New Roman" w:hAnsi="Times New Roman" w:cs="Times New Roman"/>
        </w:rPr>
      </w:pPr>
      <w:r w:rsidRPr="004761B1">
        <w:rPr>
          <w:rStyle w:val="FootnoteReference"/>
          <w:rFonts w:ascii="Times New Roman" w:hAnsi="Times New Roman" w:cs="Times New Roman"/>
        </w:rPr>
        <w:footnoteRef/>
      </w:r>
      <w:r w:rsidRPr="004761B1">
        <w:rPr>
          <w:rFonts w:ascii="Times New Roman" w:hAnsi="Times New Roman" w:cs="Times New Roman"/>
        </w:rPr>
        <w:t xml:space="preserve"> </w:t>
      </w:r>
      <w:r w:rsidRPr="004761B1">
        <w:rPr>
          <w:rFonts w:ascii="Times New Roman" w:eastAsia="SimSun" w:hAnsi="Times New Roman" w:cs="Times New Roman"/>
        </w:rPr>
        <w:t xml:space="preserve">Choi (2012); Landry, </w:t>
      </w:r>
      <w:proofErr w:type="spellStart"/>
      <w:r w:rsidRPr="004761B1">
        <w:rPr>
          <w:rFonts w:ascii="Times New Roman" w:hAnsi="Times New Roman" w:cs="Times New Roman"/>
        </w:rPr>
        <w:t>Lü</w:t>
      </w:r>
      <w:proofErr w:type="spellEnd"/>
      <w:r w:rsidRPr="004761B1">
        <w:rPr>
          <w:rFonts w:ascii="Times New Roman" w:eastAsia="SimSun" w:hAnsi="Times New Roman" w:cs="Times New Roman"/>
        </w:rPr>
        <w:t xml:space="preserve"> and Duan (2018).</w:t>
      </w:r>
    </w:p>
  </w:footnote>
  <w:footnote w:id="32">
    <w:p w14:paraId="5B3C9659" w14:textId="77777777" w:rsidR="00315077" w:rsidRPr="004761B1" w:rsidRDefault="00315077" w:rsidP="008E0CD3">
      <w:pPr>
        <w:pStyle w:val="FootnoteText"/>
        <w:rPr>
          <w:rFonts w:ascii="Times New Roman" w:hAnsi="Times New Roman" w:cs="Times New Roman"/>
        </w:rPr>
      </w:pPr>
      <w:r w:rsidRPr="004761B1">
        <w:rPr>
          <w:rStyle w:val="FootnoteReference"/>
          <w:rFonts w:ascii="Times New Roman" w:hAnsi="Times New Roman" w:cs="Times New Roman"/>
        </w:rPr>
        <w:footnoteRef/>
      </w:r>
      <w:r w:rsidRPr="004761B1">
        <w:rPr>
          <w:rFonts w:ascii="Times New Roman" w:hAnsi="Times New Roman" w:cs="Times New Roman"/>
        </w:rPr>
        <w:t xml:space="preserve"> </w:t>
      </w:r>
      <w:r w:rsidRPr="004761B1">
        <w:rPr>
          <w:rFonts w:ascii="Times New Roman" w:eastAsia="SimSun" w:hAnsi="Times New Roman" w:cs="Times New Roman"/>
        </w:rPr>
        <w:t>Jiang (2018).</w:t>
      </w:r>
    </w:p>
  </w:footnote>
  <w:footnote w:id="33">
    <w:p w14:paraId="3E60CC4B" w14:textId="77777777" w:rsidR="00315077" w:rsidRPr="004761B1" w:rsidRDefault="00315077" w:rsidP="008E0CD3">
      <w:pPr>
        <w:pStyle w:val="FootnoteText"/>
        <w:rPr>
          <w:rFonts w:ascii="Times New Roman" w:hAnsi="Times New Roman" w:cs="Times New Roman"/>
        </w:rPr>
      </w:pPr>
      <w:r w:rsidRPr="004761B1">
        <w:rPr>
          <w:rStyle w:val="FootnoteReference"/>
          <w:rFonts w:ascii="Times New Roman" w:hAnsi="Times New Roman" w:cs="Times New Roman"/>
        </w:rPr>
        <w:footnoteRef/>
      </w:r>
      <w:r w:rsidRPr="004761B1">
        <w:rPr>
          <w:rFonts w:ascii="Times New Roman" w:hAnsi="Times New Roman" w:cs="Times New Roman"/>
        </w:rPr>
        <w:t xml:space="preserve"> </w:t>
      </w:r>
      <w:proofErr w:type="spellStart"/>
      <w:r w:rsidRPr="004761B1">
        <w:rPr>
          <w:rFonts w:ascii="Times New Roman" w:eastAsia="SimSun" w:hAnsi="Times New Roman" w:cs="Times New Roman"/>
        </w:rPr>
        <w:t>Brødsgaard</w:t>
      </w:r>
      <w:proofErr w:type="spellEnd"/>
      <w:r w:rsidRPr="004761B1">
        <w:rPr>
          <w:rFonts w:ascii="Times New Roman" w:eastAsia="SimSun" w:hAnsi="Times New Roman" w:cs="Times New Roman"/>
        </w:rPr>
        <w:t xml:space="preserve"> (2012); Leutert (2018); Li (2016); Lin (2017); </w:t>
      </w:r>
      <w:proofErr w:type="spellStart"/>
      <w:r w:rsidRPr="004761B1">
        <w:rPr>
          <w:rFonts w:ascii="Times New Roman" w:eastAsia="SimSun" w:hAnsi="Times New Roman" w:cs="Times New Roman"/>
        </w:rPr>
        <w:t>Liou</w:t>
      </w:r>
      <w:proofErr w:type="spellEnd"/>
      <w:r w:rsidRPr="004761B1">
        <w:rPr>
          <w:rFonts w:ascii="Times New Roman" w:eastAsia="SimSun" w:hAnsi="Times New Roman" w:cs="Times New Roman"/>
        </w:rPr>
        <w:t xml:space="preserve"> and Tsai (2017); Zhang, Zhang and Liu (2017).</w:t>
      </w:r>
    </w:p>
  </w:footnote>
  <w:footnote w:id="34">
    <w:p w14:paraId="228A2BAB" w14:textId="77777777" w:rsidR="00315077" w:rsidRPr="004761B1" w:rsidRDefault="00315077" w:rsidP="008E0CD3">
      <w:pPr>
        <w:pStyle w:val="FootnoteText"/>
        <w:rPr>
          <w:rFonts w:ascii="Times New Roman" w:hAnsi="Times New Roman" w:cs="Times New Roman"/>
        </w:rPr>
      </w:pPr>
      <w:r w:rsidRPr="004761B1">
        <w:rPr>
          <w:rStyle w:val="FootnoteReference"/>
          <w:rFonts w:ascii="Times New Roman" w:hAnsi="Times New Roman" w:cs="Times New Roman"/>
        </w:rPr>
        <w:footnoteRef/>
      </w:r>
      <w:r w:rsidRPr="004761B1">
        <w:rPr>
          <w:rFonts w:ascii="Times New Roman" w:hAnsi="Times New Roman" w:cs="Times New Roman"/>
        </w:rPr>
        <w:t xml:space="preserve"> </w:t>
      </w:r>
      <w:r w:rsidRPr="004761B1">
        <w:rPr>
          <w:rFonts w:ascii="Times New Roman" w:eastAsia="SimSun" w:hAnsi="Times New Roman" w:cs="Times New Roman"/>
        </w:rPr>
        <w:t xml:space="preserve">Lin (2017); Yang, Wang and </w:t>
      </w:r>
      <w:proofErr w:type="spellStart"/>
      <w:r w:rsidRPr="004761B1">
        <w:rPr>
          <w:rFonts w:ascii="Times New Roman" w:eastAsia="SimSun" w:hAnsi="Times New Roman" w:cs="Times New Roman"/>
        </w:rPr>
        <w:t>Nie</w:t>
      </w:r>
      <w:proofErr w:type="spellEnd"/>
      <w:r w:rsidRPr="004761B1">
        <w:rPr>
          <w:rFonts w:ascii="Times New Roman" w:eastAsia="SimSun" w:hAnsi="Times New Roman" w:cs="Times New Roman"/>
        </w:rPr>
        <w:t xml:space="preserve"> (2013).</w:t>
      </w:r>
    </w:p>
  </w:footnote>
  <w:footnote w:id="35">
    <w:p w14:paraId="29BA1178" w14:textId="77777777" w:rsidR="00315077" w:rsidRPr="004761B1" w:rsidRDefault="00315077" w:rsidP="008E0CD3">
      <w:pPr>
        <w:pStyle w:val="FootnoteText"/>
        <w:rPr>
          <w:rFonts w:ascii="Times New Roman" w:hAnsi="Times New Roman" w:cs="Times New Roman"/>
        </w:rPr>
      </w:pPr>
      <w:r w:rsidRPr="004761B1">
        <w:rPr>
          <w:rStyle w:val="FootnoteReference"/>
          <w:rFonts w:ascii="Times New Roman" w:hAnsi="Times New Roman" w:cs="Times New Roman"/>
        </w:rPr>
        <w:footnoteRef/>
      </w:r>
      <w:r w:rsidRPr="004761B1">
        <w:rPr>
          <w:rFonts w:ascii="Times New Roman" w:hAnsi="Times New Roman" w:cs="Times New Roman"/>
        </w:rPr>
        <w:t xml:space="preserve"> </w:t>
      </w:r>
      <w:proofErr w:type="spellStart"/>
      <w:r w:rsidRPr="004761B1">
        <w:rPr>
          <w:rFonts w:ascii="Times New Roman" w:eastAsia="SimSun" w:hAnsi="Times New Roman" w:cs="Times New Roman"/>
        </w:rPr>
        <w:t>Brødsgaard</w:t>
      </w:r>
      <w:proofErr w:type="spellEnd"/>
      <w:r w:rsidRPr="004761B1">
        <w:rPr>
          <w:rFonts w:ascii="Times New Roman" w:eastAsia="SimSun" w:hAnsi="Times New Roman" w:cs="Times New Roman"/>
        </w:rPr>
        <w:t xml:space="preserve"> et al. (2017).</w:t>
      </w:r>
    </w:p>
  </w:footnote>
  <w:footnote w:id="36">
    <w:p w14:paraId="623CF3F8" w14:textId="77777777" w:rsidR="00315077" w:rsidRPr="004761B1" w:rsidRDefault="00315077" w:rsidP="008E0CD3">
      <w:pPr>
        <w:pStyle w:val="FootnoteText"/>
        <w:rPr>
          <w:rFonts w:ascii="Times New Roman" w:hAnsi="Times New Roman" w:cs="Times New Roman"/>
        </w:rPr>
      </w:pPr>
      <w:r w:rsidRPr="004761B1">
        <w:rPr>
          <w:rStyle w:val="FootnoteReference"/>
          <w:rFonts w:ascii="Times New Roman" w:hAnsi="Times New Roman" w:cs="Times New Roman"/>
        </w:rPr>
        <w:footnoteRef/>
      </w:r>
      <w:r w:rsidRPr="004761B1">
        <w:rPr>
          <w:rFonts w:ascii="Times New Roman" w:hAnsi="Times New Roman" w:cs="Times New Roman"/>
        </w:rPr>
        <w:t xml:space="preserve"> Ministry of Finance (2017); Rosen, Leutert and Guo (2018). </w:t>
      </w:r>
    </w:p>
  </w:footnote>
  <w:footnote w:id="37">
    <w:p w14:paraId="576866F4" w14:textId="77777777" w:rsidR="00315077" w:rsidRPr="004A295D" w:rsidRDefault="00315077" w:rsidP="008E0CD3">
      <w:pPr>
        <w:snapToGrid w:val="0"/>
        <w:jc w:val="both"/>
        <w:rPr>
          <w:rFonts w:eastAsia="SimSun"/>
          <w:sz w:val="20"/>
          <w:szCs w:val="20"/>
        </w:rPr>
      </w:pPr>
      <w:r w:rsidRPr="004A295D">
        <w:rPr>
          <w:rStyle w:val="FootnoteReference"/>
          <w:sz w:val="20"/>
          <w:szCs w:val="20"/>
        </w:rPr>
        <w:footnoteRef/>
      </w:r>
      <w:r w:rsidRPr="004A295D">
        <w:rPr>
          <w:sz w:val="20"/>
          <w:szCs w:val="20"/>
        </w:rPr>
        <w:t xml:space="preserve"> SASAC, </w:t>
      </w:r>
      <w:proofErr w:type="spellStart"/>
      <w:r w:rsidRPr="004A295D">
        <w:rPr>
          <w:i/>
          <w:iCs/>
          <w:sz w:val="20"/>
          <w:szCs w:val="20"/>
        </w:rPr>
        <w:t>Yangqi</w:t>
      </w:r>
      <w:proofErr w:type="spellEnd"/>
      <w:r w:rsidRPr="004A295D">
        <w:rPr>
          <w:i/>
          <w:iCs/>
          <w:sz w:val="20"/>
          <w:szCs w:val="20"/>
        </w:rPr>
        <w:t xml:space="preserve"> </w:t>
      </w:r>
      <w:proofErr w:type="spellStart"/>
      <w:r w:rsidRPr="004A295D">
        <w:rPr>
          <w:i/>
          <w:iCs/>
          <w:sz w:val="20"/>
          <w:szCs w:val="20"/>
        </w:rPr>
        <w:t>zhan</w:t>
      </w:r>
      <w:proofErr w:type="spellEnd"/>
      <w:r w:rsidRPr="004A295D">
        <w:rPr>
          <w:i/>
          <w:iCs/>
          <w:sz w:val="20"/>
          <w:szCs w:val="20"/>
        </w:rPr>
        <w:t xml:space="preserve"> </w:t>
      </w:r>
      <w:proofErr w:type="spellStart"/>
      <w:r w:rsidRPr="004A295D">
        <w:rPr>
          <w:i/>
          <w:iCs/>
          <w:sz w:val="20"/>
          <w:szCs w:val="20"/>
        </w:rPr>
        <w:t>yi</w:t>
      </w:r>
      <w:proofErr w:type="spellEnd"/>
      <w:r w:rsidRPr="004A295D">
        <w:rPr>
          <w:i/>
          <w:iCs/>
          <w:sz w:val="20"/>
          <w:szCs w:val="20"/>
        </w:rPr>
        <w:t xml:space="preserve"> </w:t>
      </w:r>
      <w:proofErr w:type="spellStart"/>
      <w:r w:rsidRPr="004A295D">
        <w:rPr>
          <w:i/>
          <w:iCs/>
          <w:sz w:val="20"/>
          <w:szCs w:val="20"/>
        </w:rPr>
        <w:t>tujian</w:t>
      </w:r>
      <w:proofErr w:type="spellEnd"/>
      <w:r w:rsidRPr="004A295D">
        <w:rPr>
          <w:i/>
          <w:iCs/>
          <w:sz w:val="20"/>
          <w:szCs w:val="20"/>
        </w:rPr>
        <w:t xml:space="preserve"> </w:t>
      </w:r>
      <w:r w:rsidRPr="004A295D">
        <w:rPr>
          <w:sz w:val="20"/>
          <w:szCs w:val="20"/>
        </w:rPr>
        <w:t xml:space="preserve">[Illustrated Compendium of Central State-owned Enterprises’ War Against the Epidemic], April 24, 2020; SASAC, </w:t>
      </w:r>
      <w:proofErr w:type="spellStart"/>
      <w:r w:rsidRPr="004A295D">
        <w:rPr>
          <w:i/>
          <w:sz w:val="20"/>
          <w:szCs w:val="20"/>
        </w:rPr>
        <w:t>Guoziwei</w:t>
      </w:r>
      <w:proofErr w:type="spellEnd"/>
      <w:r w:rsidRPr="004A295D">
        <w:rPr>
          <w:i/>
          <w:sz w:val="20"/>
          <w:szCs w:val="20"/>
        </w:rPr>
        <w:t xml:space="preserve"> </w:t>
      </w:r>
      <w:proofErr w:type="spellStart"/>
      <w:r w:rsidRPr="004A295D">
        <w:rPr>
          <w:i/>
          <w:sz w:val="20"/>
          <w:szCs w:val="20"/>
        </w:rPr>
        <w:t>caiqu</w:t>
      </w:r>
      <w:proofErr w:type="spellEnd"/>
      <w:r w:rsidRPr="004A295D">
        <w:rPr>
          <w:i/>
          <w:sz w:val="20"/>
          <w:szCs w:val="20"/>
        </w:rPr>
        <w:t xml:space="preserve"> </w:t>
      </w:r>
      <w:proofErr w:type="spellStart"/>
      <w:r w:rsidRPr="004A295D">
        <w:rPr>
          <w:i/>
          <w:sz w:val="20"/>
          <w:szCs w:val="20"/>
        </w:rPr>
        <w:t>youli</w:t>
      </w:r>
      <w:proofErr w:type="spellEnd"/>
      <w:r w:rsidRPr="004A295D">
        <w:rPr>
          <w:i/>
          <w:sz w:val="20"/>
          <w:szCs w:val="20"/>
        </w:rPr>
        <w:t xml:space="preserve"> </w:t>
      </w:r>
      <w:proofErr w:type="spellStart"/>
      <w:r w:rsidRPr="004A295D">
        <w:rPr>
          <w:i/>
          <w:sz w:val="20"/>
          <w:szCs w:val="20"/>
        </w:rPr>
        <w:t>cuoshi</w:t>
      </w:r>
      <w:proofErr w:type="spellEnd"/>
      <w:r w:rsidRPr="004A295D">
        <w:rPr>
          <w:i/>
          <w:sz w:val="20"/>
          <w:szCs w:val="20"/>
        </w:rPr>
        <w:t xml:space="preserve"> </w:t>
      </w:r>
      <w:proofErr w:type="spellStart"/>
      <w:r w:rsidRPr="004A295D">
        <w:rPr>
          <w:i/>
          <w:sz w:val="20"/>
          <w:szCs w:val="20"/>
        </w:rPr>
        <w:t>weihu</w:t>
      </w:r>
      <w:proofErr w:type="spellEnd"/>
      <w:r w:rsidRPr="004A295D">
        <w:rPr>
          <w:i/>
          <w:sz w:val="20"/>
          <w:szCs w:val="20"/>
        </w:rPr>
        <w:t xml:space="preserve"> </w:t>
      </w:r>
      <w:proofErr w:type="spellStart"/>
      <w:r w:rsidRPr="004A295D">
        <w:rPr>
          <w:i/>
          <w:sz w:val="20"/>
          <w:szCs w:val="20"/>
        </w:rPr>
        <w:t>gupiao</w:t>
      </w:r>
      <w:proofErr w:type="spellEnd"/>
      <w:r w:rsidRPr="004A295D">
        <w:rPr>
          <w:i/>
          <w:sz w:val="20"/>
          <w:szCs w:val="20"/>
        </w:rPr>
        <w:t xml:space="preserve"> </w:t>
      </w:r>
      <w:proofErr w:type="spellStart"/>
      <w:r w:rsidRPr="004A295D">
        <w:rPr>
          <w:i/>
          <w:sz w:val="20"/>
          <w:szCs w:val="20"/>
        </w:rPr>
        <w:t>shichang</w:t>
      </w:r>
      <w:proofErr w:type="spellEnd"/>
      <w:r w:rsidRPr="004A295D">
        <w:rPr>
          <w:i/>
          <w:sz w:val="20"/>
          <w:szCs w:val="20"/>
        </w:rPr>
        <w:t xml:space="preserve"> wending</w:t>
      </w:r>
      <w:r w:rsidRPr="004A295D">
        <w:rPr>
          <w:sz w:val="20"/>
          <w:szCs w:val="20"/>
        </w:rPr>
        <w:t xml:space="preserve"> [SASAC Takes Effective Measures to Safeguard Stock Market Stability], 8 July 2015.</w:t>
      </w:r>
    </w:p>
  </w:footnote>
  <w:footnote w:id="38">
    <w:p w14:paraId="5B429420" w14:textId="77777777" w:rsidR="00315077" w:rsidRPr="004A295D" w:rsidRDefault="00315077" w:rsidP="008E0CD3">
      <w:pPr>
        <w:pStyle w:val="FootnoteText"/>
        <w:rPr>
          <w:rFonts w:ascii="Times New Roman" w:hAnsi="Times New Roman" w:cs="Times New Roman"/>
        </w:rPr>
      </w:pPr>
      <w:r w:rsidRPr="004A295D">
        <w:rPr>
          <w:rStyle w:val="FootnoteReference"/>
          <w:rFonts w:ascii="Times New Roman" w:hAnsi="Times New Roman" w:cs="Times New Roman"/>
        </w:rPr>
        <w:footnoteRef/>
      </w:r>
      <w:r w:rsidRPr="004A295D">
        <w:rPr>
          <w:rFonts w:ascii="Times New Roman" w:hAnsi="Times New Roman" w:cs="Times New Roman"/>
        </w:rPr>
        <w:t xml:space="preserve"> SASAC, </w:t>
      </w:r>
      <w:proofErr w:type="spellStart"/>
      <w:r w:rsidRPr="004A295D">
        <w:rPr>
          <w:rFonts w:ascii="Times New Roman" w:hAnsi="Times New Roman" w:cs="Times New Roman"/>
          <w:i/>
        </w:rPr>
        <w:t>Guoziwei</w:t>
      </w:r>
      <w:proofErr w:type="spellEnd"/>
      <w:r w:rsidRPr="004A295D">
        <w:rPr>
          <w:rFonts w:ascii="Times New Roman" w:hAnsi="Times New Roman" w:cs="Times New Roman"/>
          <w:i/>
        </w:rPr>
        <w:t xml:space="preserve"> </w:t>
      </w:r>
      <w:proofErr w:type="spellStart"/>
      <w:r w:rsidRPr="004A295D">
        <w:rPr>
          <w:rFonts w:ascii="Times New Roman" w:hAnsi="Times New Roman" w:cs="Times New Roman"/>
          <w:i/>
        </w:rPr>
        <w:t>yu</w:t>
      </w:r>
      <w:proofErr w:type="spellEnd"/>
      <w:r w:rsidRPr="004A295D">
        <w:rPr>
          <w:rFonts w:ascii="Times New Roman" w:hAnsi="Times New Roman" w:cs="Times New Roman"/>
          <w:i/>
        </w:rPr>
        <w:t xml:space="preserve"> </w:t>
      </w:r>
      <w:proofErr w:type="spellStart"/>
      <w:r w:rsidRPr="004A295D">
        <w:rPr>
          <w:rFonts w:ascii="Times New Roman" w:hAnsi="Times New Roman" w:cs="Times New Roman"/>
          <w:i/>
        </w:rPr>
        <w:t>zhongyang</w:t>
      </w:r>
      <w:proofErr w:type="spellEnd"/>
      <w:r w:rsidRPr="004A295D">
        <w:rPr>
          <w:rFonts w:ascii="Times New Roman" w:hAnsi="Times New Roman" w:cs="Times New Roman"/>
          <w:i/>
        </w:rPr>
        <w:t xml:space="preserve"> </w:t>
      </w:r>
      <w:proofErr w:type="spellStart"/>
      <w:r w:rsidRPr="004A295D">
        <w:rPr>
          <w:rFonts w:ascii="Times New Roman" w:hAnsi="Times New Roman" w:cs="Times New Roman"/>
          <w:i/>
        </w:rPr>
        <w:t>qiye</w:t>
      </w:r>
      <w:proofErr w:type="spellEnd"/>
      <w:r w:rsidRPr="004A295D">
        <w:rPr>
          <w:rFonts w:ascii="Times New Roman" w:hAnsi="Times New Roman" w:cs="Times New Roman"/>
          <w:i/>
        </w:rPr>
        <w:t xml:space="preserve"> </w:t>
      </w:r>
      <w:proofErr w:type="spellStart"/>
      <w:r w:rsidRPr="004A295D">
        <w:rPr>
          <w:rFonts w:ascii="Times New Roman" w:hAnsi="Times New Roman" w:cs="Times New Roman"/>
          <w:i/>
        </w:rPr>
        <w:t>qianding</w:t>
      </w:r>
      <w:proofErr w:type="spellEnd"/>
      <w:r w:rsidRPr="004A295D">
        <w:rPr>
          <w:rFonts w:ascii="Times New Roman" w:hAnsi="Times New Roman" w:cs="Times New Roman"/>
          <w:i/>
        </w:rPr>
        <w:t xml:space="preserve"> </w:t>
      </w:r>
      <w:proofErr w:type="spellStart"/>
      <w:r w:rsidRPr="004A295D">
        <w:rPr>
          <w:rFonts w:ascii="Times New Roman" w:hAnsi="Times New Roman" w:cs="Times New Roman"/>
          <w:i/>
        </w:rPr>
        <w:t>jingying</w:t>
      </w:r>
      <w:proofErr w:type="spellEnd"/>
      <w:r w:rsidRPr="004A295D">
        <w:rPr>
          <w:rFonts w:ascii="Times New Roman" w:hAnsi="Times New Roman" w:cs="Times New Roman"/>
          <w:i/>
        </w:rPr>
        <w:t xml:space="preserve"> </w:t>
      </w:r>
      <w:proofErr w:type="spellStart"/>
      <w:r w:rsidRPr="004A295D">
        <w:rPr>
          <w:rFonts w:ascii="Times New Roman" w:hAnsi="Times New Roman" w:cs="Times New Roman"/>
          <w:i/>
        </w:rPr>
        <w:t>yeji</w:t>
      </w:r>
      <w:proofErr w:type="spellEnd"/>
      <w:r w:rsidRPr="004A295D">
        <w:rPr>
          <w:rFonts w:ascii="Times New Roman" w:hAnsi="Times New Roman" w:cs="Times New Roman"/>
          <w:i/>
        </w:rPr>
        <w:t xml:space="preserve"> </w:t>
      </w:r>
      <w:proofErr w:type="spellStart"/>
      <w:r w:rsidRPr="004A295D">
        <w:rPr>
          <w:rFonts w:ascii="Times New Roman" w:hAnsi="Times New Roman" w:cs="Times New Roman"/>
          <w:i/>
        </w:rPr>
        <w:t>zerenshu</w:t>
      </w:r>
      <w:proofErr w:type="spellEnd"/>
      <w:r w:rsidRPr="004A295D">
        <w:rPr>
          <w:rFonts w:ascii="Times New Roman" w:hAnsi="Times New Roman" w:cs="Times New Roman"/>
          <w:i/>
        </w:rPr>
        <w:t xml:space="preserve"> Hao Peng </w:t>
      </w:r>
      <w:proofErr w:type="spellStart"/>
      <w:r w:rsidRPr="004A295D">
        <w:rPr>
          <w:rFonts w:ascii="Times New Roman" w:hAnsi="Times New Roman" w:cs="Times New Roman"/>
          <w:i/>
        </w:rPr>
        <w:t>qiangdiao</w:t>
      </w:r>
      <w:proofErr w:type="spellEnd"/>
      <w:r w:rsidRPr="004A295D">
        <w:rPr>
          <w:rFonts w:ascii="Times New Roman" w:hAnsi="Times New Roman" w:cs="Times New Roman"/>
          <w:i/>
        </w:rPr>
        <w:t xml:space="preserve"> </w:t>
      </w:r>
      <w:proofErr w:type="spellStart"/>
      <w:r w:rsidRPr="004A295D">
        <w:rPr>
          <w:rFonts w:ascii="Times New Roman" w:hAnsi="Times New Roman" w:cs="Times New Roman"/>
          <w:i/>
        </w:rPr>
        <w:t>yao</w:t>
      </w:r>
      <w:proofErr w:type="spellEnd"/>
      <w:r w:rsidRPr="004A295D">
        <w:rPr>
          <w:rFonts w:ascii="Times New Roman" w:hAnsi="Times New Roman" w:cs="Times New Roman"/>
          <w:i/>
        </w:rPr>
        <w:t xml:space="preserve"> </w:t>
      </w:r>
      <w:proofErr w:type="spellStart"/>
      <w:r w:rsidRPr="004A295D">
        <w:rPr>
          <w:rFonts w:ascii="Times New Roman" w:hAnsi="Times New Roman" w:cs="Times New Roman"/>
          <w:i/>
        </w:rPr>
        <w:t>quanli</w:t>
      </w:r>
      <w:proofErr w:type="spellEnd"/>
      <w:r w:rsidRPr="004A295D">
        <w:rPr>
          <w:rFonts w:ascii="Times New Roman" w:hAnsi="Times New Roman" w:cs="Times New Roman"/>
          <w:i/>
        </w:rPr>
        <w:t xml:space="preserve"> </w:t>
      </w:r>
      <w:proofErr w:type="spellStart"/>
      <w:r w:rsidRPr="004A295D">
        <w:rPr>
          <w:rFonts w:ascii="Times New Roman" w:hAnsi="Times New Roman" w:cs="Times New Roman"/>
          <w:i/>
        </w:rPr>
        <w:t>yi</w:t>
      </w:r>
      <w:proofErr w:type="spellEnd"/>
      <w:r w:rsidRPr="004A295D">
        <w:rPr>
          <w:rFonts w:ascii="Times New Roman" w:hAnsi="Times New Roman" w:cs="Times New Roman"/>
          <w:i/>
        </w:rPr>
        <w:t xml:space="preserve"> ben wen </w:t>
      </w:r>
      <w:proofErr w:type="spellStart"/>
      <w:r w:rsidRPr="004A295D">
        <w:rPr>
          <w:rFonts w:ascii="Times New Roman" w:hAnsi="Times New Roman" w:cs="Times New Roman"/>
          <w:i/>
        </w:rPr>
        <w:t>zengzhang</w:t>
      </w:r>
      <w:proofErr w:type="spellEnd"/>
      <w:r w:rsidRPr="004A295D">
        <w:rPr>
          <w:rFonts w:ascii="Times New Roman" w:hAnsi="Times New Roman" w:cs="Times New Roman"/>
          <w:i/>
        </w:rPr>
        <w:t xml:space="preserve"> </w:t>
      </w:r>
      <w:proofErr w:type="spellStart"/>
      <w:r w:rsidRPr="004A295D">
        <w:rPr>
          <w:rFonts w:ascii="Times New Roman" w:hAnsi="Times New Roman" w:cs="Times New Roman"/>
          <w:i/>
        </w:rPr>
        <w:t>qieshi</w:t>
      </w:r>
      <w:proofErr w:type="spellEnd"/>
      <w:r w:rsidRPr="004A295D">
        <w:rPr>
          <w:rFonts w:ascii="Times New Roman" w:hAnsi="Times New Roman" w:cs="Times New Roman"/>
          <w:i/>
        </w:rPr>
        <w:t xml:space="preserve"> </w:t>
      </w:r>
      <w:proofErr w:type="spellStart"/>
      <w:r w:rsidRPr="004A295D">
        <w:rPr>
          <w:rFonts w:ascii="Times New Roman" w:hAnsi="Times New Roman" w:cs="Times New Roman"/>
          <w:i/>
        </w:rPr>
        <w:t>fahui</w:t>
      </w:r>
      <w:proofErr w:type="spellEnd"/>
      <w:r w:rsidRPr="004A295D">
        <w:rPr>
          <w:rFonts w:ascii="Times New Roman" w:hAnsi="Times New Roman" w:cs="Times New Roman"/>
          <w:i/>
        </w:rPr>
        <w:t xml:space="preserve"> </w:t>
      </w:r>
      <w:proofErr w:type="spellStart"/>
      <w:r w:rsidRPr="004A295D">
        <w:rPr>
          <w:rFonts w:ascii="Times New Roman" w:hAnsi="Times New Roman" w:cs="Times New Roman"/>
          <w:i/>
        </w:rPr>
        <w:t>hao</w:t>
      </w:r>
      <w:proofErr w:type="spellEnd"/>
      <w:r w:rsidRPr="004A295D">
        <w:rPr>
          <w:rFonts w:ascii="Times New Roman" w:hAnsi="Times New Roman" w:cs="Times New Roman"/>
          <w:i/>
        </w:rPr>
        <w:t xml:space="preserve"> “</w:t>
      </w:r>
      <w:proofErr w:type="spellStart"/>
      <w:r w:rsidRPr="004A295D">
        <w:rPr>
          <w:rFonts w:ascii="Times New Roman" w:hAnsi="Times New Roman" w:cs="Times New Roman"/>
          <w:i/>
        </w:rPr>
        <w:t>wendingqi</w:t>
      </w:r>
      <w:proofErr w:type="spellEnd"/>
      <w:r w:rsidRPr="004A295D">
        <w:rPr>
          <w:rFonts w:ascii="Times New Roman" w:hAnsi="Times New Roman" w:cs="Times New Roman"/>
          <w:i/>
        </w:rPr>
        <w:t xml:space="preserve">” </w:t>
      </w:r>
      <w:proofErr w:type="spellStart"/>
      <w:r w:rsidRPr="004A295D">
        <w:rPr>
          <w:rFonts w:ascii="Times New Roman" w:hAnsi="Times New Roman" w:cs="Times New Roman"/>
          <w:i/>
        </w:rPr>
        <w:t>zuoyong</w:t>
      </w:r>
      <w:proofErr w:type="spellEnd"/>
      <w:r w:rsidRPr="004A295D">
        <w:rPr>
          <w:rFonts w:ascii="Times New Roman" w:hAnsi="Times New Roman" w:cs="Times New Roman"/>
        </w:rPr>
        <w:t xml:space="preserve"> [SASAC Signed Responsibility Contracts for Operating Performance with Central Enterprises, Hao Peng Emphasized the Need to Go All Out to Stabilize Growth an</w:t>
      </w:r>
      <w:r>
        <w:rPr>
          <w:rFonts w:ascii="Times New Roman" w:hAnsi="Times New Roman" w:cs="Times New Roman"/>
        </w:rPr>
        <w:t>d Effectively Play the Role of “Stabilizer”</w:t>
      </w:r>
      <w:r w:rsidRPr="004A295D">
        <w:rPr>
          <w:rFonts w:ascii="Times New Roman" w:hAnsi="Times New Roman" w:cs="Times New Roman"/>
        </w:rPr>
        <w:t xml:space="preserve">], June 13, 2019. </w:t>
      </w:r>
    </w:p>
  </w:footnote>
  <w:footnote w:id="39">
    <w:p w14:paraId="243988A3" w14:textId="77777777" w:rsidR="00315077" w:rsidRPr="004A295D" w:rsidRDefault="00315077" w:rsidP="008E0CD3">
      <w:pPr>
        <w:pStyle w:val="FootnoteText"/>
        <w:rPr>
          <w:rFonts w:ascii="Times New Roman" w:hAnsi="Times New Roman" w:cs="Times New Roman"/>
        </w:rPr>
      </w:pPr>
      <w:r w:rsidRPr="004A295D">
        <w:rPr>
          <w:rStyle w:val="FootnoteReference"/>
          <w:rFonts w:ascii="Times New Roman" w:hAnsi="Times New Roman" w:cs="Times New Roman"/>
        </w:rPr>
        <w:footnoteRef/>
      </w:r>
      <w:r w:rsidRPr="004A295D">
        <w:rPr>
          <w:rFonts w:ascii="Times New Roman" w:hAnsi="Times New Roman" w:cs="Times New Roman"/>
        </w:rPr>
        <w:t xml:space="preserve"> Executive turnover can precipitate sustained increases in stock market volatility due to uncertainty about changes in a firm’s strategy after an executive’s departure or concerns about their successor’s ability. Clayton et al (2005).  </w:t>
      </w:r>
    </w:p>
  </w:footnote>
  <w:footnote w:id="40">
    <w:p w14:paraId="4E3B961A" w14:textId="77777777" w:rsidR="00315077" w:rsidRPr="00164AA1" w:rsidRDefault="00315077" w:rsidP="008E0CD3">
      <w:pPr>
        <w:pStyle w:val="FootnoteText"/>
        <w:rPr>
          <w:rFonts w:ascii="Times New Roman" w:hAnsi="Times New Roman" w:cs="Times New Roman"/>
        </w:rPr>
      </w:pPr>
      <w:r w:rsidRPr="004A295D">
        <w:rPr>
          <w:rStyle w:val="FootnoteReference"/>
          <w:rFonts w:ascii="Times New Roman" w:hAnsi="Times New Roman" w:cs="Times New Roman"/>
        </w:rPr>
        <w:footnoteRef/>
      </w:r>
      <w:r w:rsidRPr="004A295D">
        <w:rPr>
          <w:rFonts w:ascii="Times New Roman" w:hAnsi="Times New Roman" w:cs="Times New Roman"/>
        </w:rPr>
        <w:t xml:space="preserve"> Even Chinese utility State Grid, </w:t>
      </w:r>
      <w:r w:rsidRPr="004A295D">
        <w:rPr>
          <w:rFonts w:ascii="Times New Roman" w:hAnsi="Times New Roman" w:cs="Times New Roman"/>
          <w:color w:val="000000"/>
        </w:rPr>
        <w:t>which enjoys a de facto monopoly over domestic electricity transmission and presumably has minimal financial imperative to compete abroad</w:t>
      </w:r>
      <w:r w:rsidRPr="00164AA1">
        <w:rPr>
          <w:rFonts w:ascii="Times New Roman" w:hAnsi="Times New Roman" w:cs="Times New Roman"/>
        </w:rPr>
        <w:t xml:space="preserve">, now does business in nearly 40 countries worldwide. State Grid, “Overseas Projects,” http://www.sgcc.com.cn/html/sgcc_main_en/col2017112821/column_2017112821_1.shtml, accessed November 30, 2020. </w:t>
      </w:r>
    </w:p>
  </w:footnote>
  <w:footnote w:id="41">
    <w:p w14:paraId="5EFA48D2" w14:textId="77777777" w:rsidR="00315077" w:rsidRPr="00164AA1" w:rsidRDefault="00315077" w:rsidP="008E0CD3">
      <w:pPr>
        <w:pStyle w:val="FootnoteText"/>
        <w:rPr>
          <w:rFonts w:ascii="Times New Roman" w:hAnsi="Times New Roman" w:cs="Times New Roman"/>
        </w:rPr>
      </w:pPr>
      <w:r w:rsidRPr="00164AA1">
        <w:rPr>
          <w:rStyle w:val="FootnoteReference"/>
          <w:rFonts w:ascii="Times New Roman" w:hAnsi="Times New Roman" w:cs="Times New Roman"/>
        </w:rPr>
        <w:footnoteRef/>
      </w:r>
      <w:r w:rsidRPr="00164AA1">
        <w:rPr>
          <w:rFonts w:ascii="Times New Roman" w:hAnsi="Times New Roman" w:cs="Times New Roman"/>
        </w:rPr>
        <w:t xml:space="preserve"> Lee (2017) describes this objective as profit “optimization” rather than maximization (33). </w:t>
      </w:r>
    </w:p>
  </w:footnote>
  <w:footnote w:id="42">
    <w:p w14:paraId="42C89746" w14:textId="77777777" w:rsidR="00315077" w:rsidRPr="00164AA1" w:rsidRDefault="00315077" w:rsidP="008E0CD3">
      <w:pPr>
        <w:pStyle w:val="FootnoteText"/>
        <w:snapToGrid w:val="0"/>
        <w:jc w:val="both"/>
        <w:rPr>
          <w:rFonts w:ascii="Times New Roman" w:eastAsia="SimSun" w:hAnsi="Times New Roman" w:cs="Times New Roman"/>
        </w:rPr>
      </w:pPr>
      <w:r w:rsidRPr="00164AA1">
        <w:rPr>
          <w:rStyle w:val="FootnoteReference"/>
          <w:rFonts w:ascii="Times New Roman" w:eastAsia="SimSun" w:hAnsi="Times New Roman" w:cs="Times New Roman"/>
        </w:rPr>
        <w:footnoteRef/>
      </w:r>
      <w:r w:rsidRPr="00164AA1">
        <w:rPr>
          <w:rFonts w:ascii="Times New Roman" w:eastAsia="SimSun" w:hAnsi="Times New Roman" w:cs="Times New Roman"/>
        </w:rPr>
        <w:t xml:space="preserve"> The four principles in rank order are: </w:t>
      </w:r>
      <w:r w:rsidRPr="00164AA1">
        <w:rPr>
          <w:rFonts w:ascii="Times New Roman" w:eastAsia="SimSun" w:hAnsi="Times New Roman" w:cs="Times New Roman"/>
          <w:lang w:eastAsia="zh-CN"/>
        </w:rPr>
        <w:t xml:space="preserve">1) maximization of operational profits; 2) maximization of operational efficiency; 3) sustainable development; 4) maintaining and increasing asset value. </w:t>
      </w:r>
      <w:r w:rsidRPr="00164AA1">
        <w:rPr>
          <w:rFonts w:ascii="Times New Roman" w:eastAsia="SimSun" w:hAnsi="Times New Roman" w:cs="Times New Roman"/>
        </w:rPr>
        <w:t>SASAC (2003), 43.</w:t>
      </w:r>
    </w:p>
  </w:footnote>
  <w:footnote w:id="43">
    <w:p w14:paraId="2460435B" w14:textId="77777777" w:rsidR="00315077" w:rsidRPr="00164AA1" w:rsidRDefault="00315077" w:rsidP="008E0CD3">
      <w:pPr>
        <w:pStyle w:val="FootnoteText"/>
        <w:rPr>
          <w:rFonts w:ascii="Times New Roman" w:eastAsia="SimSun" w:hAnsi="Times New Roman" w:cs="Times New Roman"/>
          <w:lang w:eastAsia="zh-CN"/>
        </w:rPr>
      </w:pPr>
      <w:r w:rsidRPr="00164AA1">
        <w:rPr>
          <w:rStyle w:val="FootnoteReference"/>
          <w:rFonts w:ascii="Times New Roman" w:hAnsi="Times New Roman" w:cs="Times New Roman"/>
        </w:rPr>
        <w:footnoteRef/>
      </w:r>
      <w:r w:rsidRPr="00164AA1">
        <w:rPr>
          <w:rFonts w:ascii="Times New Roman" w:hAnsi="Times New Roman" w:cs="Times New Roman"/>
        </w:rPr>
        <w:t xml:space="preserve"> </w:t>
      </w:r>
      <w:r w:rsidRPr="00164AA1">
        <w:rPr>
          <w:rFonts w:ascii="Times New Roman" w:eastAsia="SimSun" w:hAnsi="Times New Roman" w:cs="Times New Roman"/>
        </w:rPr>
        <w:t>The other three evaluation areas are political quality (</w:t>
      </w:r>
      <w:proofErr w:type="spellStart"/>
      <w:r w:rsidRPr="00164AA1">
        <w:rPr>
          <w:rFonts w:ascii="Times New Roman" w:eastAsia="SimSun" w:hAnsi="Times New Roman" w:cs="Times New Roman"/>
          <w:i/>
        </w:rPr>
        <w:t>zhengzhi</w:t>
      </w:r>
      <w:proofErr w:type="spellEnd"/>
      <w:r w:rsidRPr="00164AA1">
        <w:rPr>
          <w:rFonts w:ascii="Times New Roman" w:eastAsia="SimSun" w:hAnsi="Times New Roman" w:cs="Times New Roman"/>
          <w:i/>
        </w:rPr>
        <w:t xml:space="preserve"> </w:t>
      </w:r>
      <w:proofErr w:type="spellStart"/>
      <w:r w:rsidRPr="00164AA1">
        <w:rPr>
          <w:rFonts w:ascii="Times New Roman" w:eastAsia="SimSun" w:hAnsi="Times New Roman" w:cs="Times New Roman"/>
          <w:i/>
        </w:rPr>
        <w:t>suzhi</w:t>
      </w:r>
      <w:proofErr w:type="spellEnd"/>
      <w:r w:rsidRPr="00164AA1">
        <w:rPr>
          <w:rFonts w:ascii="Times New Roman" w:eastAsia="SimSun" w:hAnsi="Times New Roman" w:cs="Times New Roman"/>
        </w:rPr>
        <w:t>), unity and cooperation (</w:t>
      </w:r>
      <w:proofErr w:type="spellStart"/>
      <w:r w:rsidRPr="00164AA1">
        <w:rPr>
          <w:rFonts w:ascii="Times New Roman" w:eastAsia="SimSun" w:hAnsi="Times New Roman" w:cs="Times New Roman"/>
          <w:i/>
        </w:rPr>
        <w:t>tuanjie</w:t>
      </w:r>
      <w:proofErr w:type="spellEnd"/>
      <w:r w:rsidRPr="00164AA1">
        <w:rPr>
          <w:rFonts w:ascii="Times New Roman" w:eastAsia="SimSun" w:hAnsi="Times New Roman" w:cs="Times New Roman"/>
          <w:i/>
        </w:rPr>
        <w:t xml:space="preserve"> </w:t>
      </w:r>
      <w:proofErr w:type="spellStart"/>
      <w:r w:rsidRPr="00164AA1">
        <w:rPr>
          <w:rFonts w:ascii="Times New Roman" w:eastAsia="SimSun" w:hAnsi="Times New Roman" w:cs="Times New Roman"/>
          <w:i/>
        </w:rPr>
        <w:t>xiezuo</w:t>
      </w:r>
      <w:proofErr w:type="spellEnd"/>
      <w:r w:rsidRPr="00164AA1">
        <w:rPr>
          <w:rFonts w:ascii="Times New Roman" w:eastAsia="SimSun" w:hAnsi="Times New Roman" w:cs="Times New Roman"/>
        </w:rPr>
        <w:t>), and work-style image (</w:t>
      </w:r>
      <w:proofErr w:type="spellStart"/>
      <w:r w:rsidRPr="00164AA1">
        <w:rPr>
          <w:rFonts w:ascii="Times New Roman" w:eastAsia="SimSun" w:hAnsi="Times New Roman" w:cs="Times New Roman"/>
          <w:i/>
        </w:rPr>
        <w:t>zuofeng</w:t>
      </w:r>
      <w:proofErr w:type="spellEnd"/>
      <w:r w:rsidRPr="00164AA1">
        <w:rPr>
          <w:rFonts w:ascii="Times New Roman" w:eastAsia="SimSun" w:hAnsi="Times New Roman" w:cs="Times New Roman"/>
          <w:i/>
        </w:rPr>
        <w:t xml:space="preserve"> </w:t>
      </w:r>
      <w:proofErr w:type="spellStart"/>
      <w:r w:rsidRPr="00164AA1">
        <w:rPr>
          <w:rFonts w:ascii="Times New Roman" w:eastAsia="SimSun" w:hAnsi="Times New Roman" w:cs="Times New Roman"/>
          <w:i/>
        </w:rPr>
        <w:t>xingxiang</w:t>
      </w:r>
      <w:proofErr w:type="spellEnd"/>
      <w:r w:rsidRPr="00164AA1">
        <w:rPr>
          <w:rFonts w:ascii="Times New Roman" w:eastAsia="SimSun" w:hAnsi="Times New Roman" w:cs="Times New Roman"/>
        </w:rPr>
        <w:t xml:space="preserve">). COD and SASAC, </w:t>
      </w:r>
      <w:r w:rsidRPr="00164AA1">
        <w:rPr>
          <w:rFonts w:ascii="Times New Roman" w:eastAsia="SimSun" w:hAnsi="Times New Roman" w:cs="Times New Roman"/>
          <w:i/>
        </w:rPr>
        <w:t xml:space="preserve">Zhongyang </w:t>
      </w:r>
      <w:proofErr w:type="spellStart"/>
      <w:r w:rsidRPr="00164AA1">
        <w:rPr>
          <w:rFonts w:ascii="Times New Roman" w:eastAsia="SimSun" w:hAnsi="Times New Roman" w:cs="Times New Roman"/>
          <w:i/>
        </w:rPr>
        <w:t>qiye</w:t>
      </w:r>
      <w:proofErr w:type="spellEnd"/>
      <w:r w:rsidRPr="00164AA1">
        <w:rPr>
          <w:rFonts w:ascii="Times New Roman" w:eastAsia="SimSun" w:hAnsi="Times New Roman" w:cs="Times New Roman"/>
          <w:i/>
        </w:rPr>
        <w:t xml:space="preserve"> </w:t>
      </w:r>
      <w:proofErr w:type="spellStart"/>
      <w:r w:rsidRPr="00164AA1">
        <w:rPr>
          <w:rFonts w:ascii="Times New Roman" w:eastAsia="SimSun" w:hAnsi="Times New Roman" w:cs="Times New Roman"/>
          <w:i/>
        </w:rPr>
        <w:t>lingdao</w:t>
      </w:r>
      <w:proofErr w:type="spellEnd"/>
      <w:r w:rsidRPr="00164AA1">
        <w:rPr>
          <w:rFonts w:ascii="Times New Roman" w:eastAsia="SimSun" w:hAnsi="Times New Roman" w:cs="Times New Roman"/>
          <w:i/>
        </w:rPr>
        <w:t xml:space="preserve"> </w:t>
      </w:r>
      <w:proofErr w:type="spellStart"/>
      <w:r w:rsidRPr="00164AA1">
        <w:rPr>
          <w:rFonts w:ascii="Times New Roman" w:eastAsia="SimSun" w:hAnsi="Times New Roman" w:cs="Times New Roman"/>
          <w:i/>
        </w:rPr>
        <w:t>banze</w:t>
      </w:r>
      <w:proofErr w:type="spellEnd"/>
      <w:r w:rsidRPr="00164AA1">
        <w:rPr>
          <w:rFonts w:ascii="Times New Roman" w:eastAsia="SimSun" w:hAnsi="Times New Roman" w:cs="Times New Roman"/>
          <w:i/>
        </w:rPr>
        <w:t xml:space="preserve"> he </w:t>
      </w:r>
      <w:proofErr w:type="spellStart"/>
      <w:r w:rsidRPr="00164AA1">
        <w:rPr>
          <w:rFonts w:ascii="Times New Roman" w:eastAsia="SimSun" w:hAnsi="Times New Roman" w:cs="Times New Roman"/>
          <w:i/>
        </w:rPr>
        <w:t>lingdao</w:t>
      </w:r>
      <w:proofErr w:type="spellEnd"/>
      <w:r w:rsidRPr="00164AA1">
        <w:rPr>
          <w:rFonts w:ascii="Times New Roman" w:eastAsia="SimSun" w:hAnsi="Times New Roman" w:cs="Times New Roman"/>
          <w:i/>
        </w:rPr>
        <w:t xml:space="preserve"> </w:t>
      </w:r>
      <w:proofErr w:type="spellStart"/>
      <w:r w:rsidRPr="00164AA1">
        <w:rPr>
          <w:rFonts w:ascii="Times New Roman" w:eastAsia="SimSun" w:hAnsi="Times New Roman" w:cs="Times New Roman"/>
          <w:i/>
        </w:rPr>
        <w:t>renyuan</w:t>
      </w:r>
      <w:proofErr w:type="spellEnd"/>
      <w:r w:rsidRPr="00164AA1">
        <w:rPr>
          <w:rFonts w:ascii="Times New Roman" w:eastAsia="SimSun" w:hAnsi="Times New Roman" w:cs="Times New Roman"/>
          <w:i/>
        </w:rPr>
        <w:t xml:space="preserve"> </w:t>
      </w:r>
      <w:proofErr w:type="spellStart"/>
      <w:r w:rsidRPr="00164AA1">
        <w:rPr>
          <w:rFonts w:ascii="Times New Roman" w:eastAsia="SimSun" w:hAnsi="Times New Roman" w:cs="Times New Roman"/>
          <w:i/>
        </w:rPr>
        <w:t>zonghe</w:t>
      </w:r>
      <w:proofErr w:type="spellEnd"/>
      <w:r w:rsidRPr="00164AA1">
        <w:rPr>
          <w:rFonts w:ascii="Times New Roman" w:eastAsia="SimSun" w:hAnsi="Times New Roman" w:cs="Times New Roman"/>
          <w:i/>
        </w:rPr>
        <w:t xml:space="preserve"> </w:t>
      </w:r>
      <w:proofErr w:type="spellStart"/>
      <w:r w:rsidRPr="00164AA1">
        <w:rPr>
          <w:rFonts w:ascii="Times New Roman" w:eastAsia="SimSun" w:hAnsi="Times New Roman" w:cs="Times New Roman"/>
          <w:i/>
        </w:rPr>
        <w:t>kaohe</w:t>
      </w:r>
      <w:proofErr w:type="spellEnd"/>
      <w:r w:rsidRPr="00164AA1">
        <w:rPr>
          <w:rFonts w:ascii="Times New Roman" w:eastAsia="SimSun" w:hAnsi="Times New Roman" w:cs="Times New Roman"/>
          <w:i/>
        </w:rPr>
        <w:t xml:space="preserve"> </w:t>
      </w:r>
      <w:proofErr w:type="spellStart"/>
      <w:r w:rsidRPr="00164AA1">
        <w:rPr>
          <w:rFonts w:ascii="Times New Roman" w:eastAsia="SimSun" w:hAnsi="Times New Roman" w:cs="Times New Roman"/>
          <w:i/>
        </w:rPr>
        <w:t>pingjia</w:t>
      </w:r>
      <w:proofErr w:type="spellEnd"/>
      <w:r w:rsidRPr="00164AA1">
        <w:rPr>
          <w:rFonts w:ascii="Times New Roman" w:eastAsia="SimSun" w:hAnsi="Times New Roman" w:cs="Times New Roman"/>
          <w:i/>
        </w:rPr>
        <w:t xml:space="preserve"> </w:t>
      </w:r>
      <w:proofErr w:type="spellStart"/>
      <w:r w:rsidRPr="00164AA1">
        <w:rPr>
          <w:rFonts w:ascii="Times New Roman" w:eastAsia="SimSun" w:hAnsi="Times New Roman" w:cs="Times New Roman"/>
          <w:i/>
        </w:rPr>
        <w:t>banfa</w:t>
      </w:r>
      <w:proofErr w:type="spellEnd"/>
      <w:r w:rsidRPr="00164AA1">
        <w:rPr>
          <w:rFonts w:ascii="Times New Roman" w:eastAsia="SimSun" w:hAnsi="Times New Roman" w:cs="Times New Roman"/>
          <w:i/>
        </w:rPr>
        <w:t xml:space="preserve"> (</w:t>
      </w:r>
      <w:proofErr w:type="spellStart"/>
      <w:r w:rsidRPr="00164AA1">
        <w:rPr>
          <w:rFonts w:ascii="Times New Roman" w:eastAsia="SimSun" w:hAnsi="Times New Roman" w:cs="Times New Roman"/>
          <w:i/>
        </w:rPr>
        <w:t>shixing</w:t>
      </w:r>
      <w:proofErr w:type="spellEnd"/>
      <w:r w:rsidRPr="00164AA1">
        <w:rPr>
          <w:rFonts w:ascii="Times New Roman" w:eastAsia="SimSun" w:hAnsi="Times New Roman" w:cs="Times New Roman"/>
          <w:i/>
        </w:rPr>
        <w:t>)</w:t>
      </w:r>
      <w:r w:rsidRPr="00164AA1">
        <w:rPr>
          <w:rFonts w:ascii="Times New Roman" w:eastAsia="SimSun" w:hAnsi="Times New Roman" w:cs="Times New Roman"/>
        </w:rPr>
        <w:t xml:space="preserve"> [Central Enterprise Leadership Team and Leaders Comprehensive Evaluation Assessment Measures (Trial),” </w:t>
      </w:r>
      <w:r w:rsidRPr="00164AA1">
        <w:rPr>
          <w:rFonts w:ascii="Times New Roman" w:eastAsia="SimSun" w:hAnsi="Times New Roman" w:cs="Times New Roman"/>
          <w:lang w:eastAsia="zh-CN"/>
        </w:rPr>
        <w:t xml:space="preserve">November 26, 2010. </w:t>
      </w:r>
    </w:p>
  </w:footnote>
  <w:footnote w:id="44">
    <w:p w14:paraId="1C04B541" w14:textId="77777777" w:rsidR="00315077" w:rsidRPr="00164AA1" w:rsidRDefault="00315077" w:rsidP="008E0CD3">
      <w:pPr>
        <w:pStyle w:val="FootnoteText"/>
        <w:rPr>
          <w:rFonts w:ascii="Times New Roman" w:hAnsi="Times New Roman" w:cs="Times New Roman"/>
        </w:rPr>
      </w:pPr>
      <w:r w:rsidRPr="00164AA1">
        <w:rPr>
          <w:rStyle w:val="FootnoteReference"/>
          <w:rFonts w:ascii="Times New Roman" w:hAnsi="Times New Roman" w:cs="Times New Roman"/>
        </w:rPr>
        <w:footnoteRef/>
      </w:r>
      <w:r w:rsidRPr="00164AA1">
        <w:rPr>
          <w:rFonts w:ascii="Times New Roman" w:hAnsi="Times New Roman" w:cs="Times New Roman"/>
        </w:rPr>
        <w:t xml:space="preserve"> SASAC, </w:t>
      </w:r>
      <w:r w:rsidRPr="00164AA1">
        <w:rPr>
          <w:rFonts w:ascii="Times New Roman" w:hAnsi="Times New Roman" w:cs="Times New Roman"/>
          <w:i/>
        </w:rPr>
        <w:t xml:space="preserve">Zhongyang </w:t>
      </w:r>
      <w:proofErr w:type="spellStart"/>
      <w:r w:rsidRPr="00164AA1">
        <w:rPr>
          <w:rFonts w:ascii="Times New Roman" w:hAnsi="Times New Roman" w:cs="Times New Roman"/>
          <w:i/>
        </w:rPr>
        <w:t>qiye</w:t>
      </w:r>
      <w:proofErr w:type="spellEnd"/>
      <w:r w:rsidRPr="00164AA1">
        <w:rPr>
          <w:rFonts w:ascii="Times New Roman" w:hAnsi="Times New Roman" w:cs="Times New Roman"/>
          <w:i/>
        </w:rPr>
        <w:t xml:space="preserve"> </w:t>
      </w:r>
      <w:proofErr w:type="spellStart"/>
      <w:r w:rsidRPr="00164AA1">
        <w:rPr>
          <w:rFonts w:ascii="Times New Roman" w:hAnsi="Times New Roman" w:cs="Times New Roman"/>
          <w:i/>
        </w:rPr>
        <w:t>fuzeren</w:t>
      </w:r>
      <w:proofErr w:type="spellEnd"/>
      <w:r w:rsidRPr="00164AA1">
        <w:rPr>
          <w:rFonts w:ascii="Times New Roman" w:hAnsi="Times New Roman" w:cs="Times New Roman"/>
          <w:i/>
        </w:rPr>
        <w:t xml:space="preserve"> </w:t>
      </w:r>
      <w:proofErr w:type="spellStart"/>
      <w:r w:rsidRPr="00164AA1">
        <w:rPr>
          <w:rFonts w:ascii="Times New Roman" w:hAnsi="Times New Roman" w:cs="Times New Roman"/>
          <w:i/>
        </w:rPr>
        <w:t>jingying</w:t>
      </w:r>
      <w:proofErr w:type="spellEnd"/>
      <w:r w:rsidRPr="00164AA1">
        <w:rPr>
          <w:rFonts w:ascii="Times New Roman" w:hAnsi="Times New Roman" w:cs="Times New Roman"/>
          <w:i/>
        </w:rPr>
        <w:t xml:space="preserve"> </w:t>
      </w:r>
      <w:proofErr w:type="spellStart"/>
      <w:r w:rsidRPr="00164AA1">
        <w:rPr>
          <w:rFonts w:ascii="Times New Roman" w:hAnsi="Times New Roman" w:cs="Times New Roman"/>
          <w:i/>
        </w:rPr>
        <w:t>yeji</w:t>
      </w:r>
      <w:proofErr w:type="spellEnd"/>
      <w:r w:rsidRPr="00164AA1">
        <w:rPr>
          <w:rFonts w:ascii="Times New Roman" w:hAnsi="Times New Roman" w:cs="Times New Roman"/>
          <w:i/>
        </w:rPr>
        <w:t xml:space="preserve"> </w:t>
      </w:r>
      <w:proofErr w:type="spellStart"/>
      <w:r w:rsidRPr="00164AA1">
        <w:rPr>
          <w:rFonts w:ascii="Times New Roman" w:hAnsi="Times New Roman" w:cs="Times New Roman"/>
          <w:i/>
        </w:rPr>
        <w:t>kaohe</w:t>
      </w:r>
      <w:proofErr w:type="spellEnd"/>
      <w:r w:rsidRPr="00164AA1">
        <w:rPr>
          <w:rFonts w:ascii="Times New Roman" w:hAnsi="Times New Roman" w:cs="Times New Roman"/>
          <w:i/>
        </w:rPr>
        <w:t xml:space="preserve"> </w:t>
      </w:r>
      <w:proofErr w:type="spellStart"/>
      <w:r w:rsidRPr="00164AA1">
        <w:rPr>
          <w:rFonts w:ascii="Times New Roman" w:hAnsi="Times New Roman" w:cs="Times New Roman"/>
          <w:i/>
        </w:rPr>
        <w:t>banfa</w:t>
      </w:r>
      <w:proofErr w:type="spellEnd"/>
      <w:r w:rsidRPr="00164AA1">
        <w:rPr>
          <w:rFonts w:ascii="Times New Roman" w:hAnsi="Times New Roman" w:cs="Times New Roman"/>
        </w:rPr>
        <w:t xml:space="preserve"> [Central SOE Responsible Persons Performance Evaluation Measures], issued December 14, 2018 and effective April 1, 2019.</w:t>
      </w:r>
    </w:p>
  </w:footnote>
  <w:footnote w:id="45">
    <w:p w14:paraId="7BAA451E" w14:textId="77777777" w:rsidR="00315077" w:rsidRPr="00164AA1" w:rsidRDefault="00315077" w:rsidP="008E0CD3">
      <w:pPr>
        <w:pStyle w:val="FootnoteText"/>
        <w:rPr>
          <w:rFonts w:ascii="Times New Roman" w:hAnsi="Times New Roman" w:cs="Times New Roman"/>
        </w:rPr>
      </w:pPr>
      <w:r w:rsidRPr="00164AA1">
        <w:rPr>
          <w:rStyle w:val="FootnoteReference"/>
          <w:rFonts w:ascii="Times New Roman" w:hAnsi="Times New Roman" w:cs="Times New Roman"/>
        </w:rPr>
        <w:footnoteRef/>
      </w:r>
      <w:r w:rsidRPr="00164AA1">
        <w:rPr>
          <w:rFonts w:ascii="Times New Roman" w:hAnsi="Times New Roman" w:cs="Times New Roman"/>
        </w:rPr>
        <w:t xml:space="preserve"> While SASAC’s system of annual grades is widely known and lists of the highest performing firms are announced, grades for individual executives are not publicly disclosed. For the most recent list of A-rated firms, see SASAC, “2019 </w:t>
      </w:r>
      <w:proofErr w:type="spellStart"/>
      <w:r w:rsidRPr="00164AA1">
        <w:rPr>
          <w:rFonts w:ascii="Times New Roman" w:hAnsi="Times New Roman" w:cs="Times New Roman"/>
          <w:i/>
        </w:rPr>
        <w:t>niandu</w:t>
      </w:r>
      <w:proofErr w:type="spellEnd"/>
      <w:r w:rsidRPr="00164AA1">
        <w:rPr>
          <w:rFonts w:ascii="Times New Roman" w:hAnsi="Times New Roman" w:cs="Times New Roman"/>
          <w:i/>
        </w:rPr>
        <w:t xml:space="preserve"> </w:t>
      </w:r>
      <w:proofErr w:type="spellStart"/>
      <w:r w:rsidRPr="00164AA1">
        <w:rPr>
          <w:rFonts w:ascii="Times New Roman" w:hAnsi="Times New Roman" w:cs="Times New Roman"/>
          <w:i/>
        </w:rPr>
        <w:t>yangqi</w:t>
      </w:r>
      <w:proofErr w:type="spellEnd"/>
      <w:r w:rsidRPr="00164AA1">
        <w:rPr>
          <w:rFonts w:ascii="Times New Roman" w:hAnsi="Times New Roman" w:cs="Times New Roman"/>
          <w:i/>
        </w:rPr>
        <w:t xml:space="preserve"> </w:t>
      </w:r>
      <w:proofErr w:type="spellStart"/>
      <w:r w:rsidRPr="00164AA1">
        <w:rPr>
          <w:rFonts w:ascii="Times New Roman" w:hAnsi="Times New Roman" w:cs="Times New Roman"/>
          <w:i/>
        </w:rPr>
        <w:t>qiye</w:t>
      </w:r>
      <w:proofErr w:type="spellEnd"/>
      <w:r w:rsidRPr="00164AA1">
        <w:rPr>
          <w:rFonts w:ascii="Times New Roman" w:hAnsi="Times New Roman" w:cs="Times New Roman"/>
          <w:i/>
        </w:rPr>
        <w:t xml:space="preserve"> </w:t>
      </w:r>
      <w:proofErr w:type="spellStart"/>
      <w:r w:rsidRPr="00164AA1">
        <w:rPr>
          <w:rFonts w:ascii="Times New Roman" w:hAnsi="Times New Roman" w:cs="Times New Roman"/>
          <w:i/>
        </w:rPr>
        <w:t>fuzeren</w:t>
      </w:r>
      <w:proofErr w:type="spellEnd"/>
      <w:r w:rsidRPr="00164AA1">
        <w:rPr>
          <w:rFonts w:ascii="Times New Roman" w:hAnsi="Times New Roman" w:cs="Times New Roman"/>
          <w:i/>
        </w:rPr>
        <w:t xml:space="preserve"> </w:t>
      </w:r>
      <w:proofErr w:type="spellStart"/>
      <w:r w:rsidRPr="00164AA1">
        <w:rPr>
          <w:rFonts w:ascii="Times New Roman" w:hAnsi="Times New Roman" w:cs="Times New Roman"/>
          <w:i/>
        </w:rPr>
        <w:t>jingying</w:t>
      </w:r>
      <w:proofErr w:type="spellEnd"/>
      <w:r w:rsidRPr="00164AA1">
        <w:rPr>
          <w:rFonts w:ascii="Times New Roman" w:hAnsi="Times New Roman" w:cs="Times New Roman"/>
          <w:i/>
        </w:rPr>
        <w:t xml:space="preserve"> </w:t>
      </w:r>
      <w:proofErr w:type="spellStart"/>
      <w:r w:rsidRPr="00164AA1">
        <w:rPr>
          <w:rFonts w:ascii="Times New Roman" w:hAnsi="Times New Roman" w:cs="Times New Roman"/>
          <w:i/>
        </w:rPr>
        <w:t>yeji</w:t>
      </w:r>
      <w:proofErr w:type="spellEnd"/>
      <w:r w:rsidRPr="00164AA1">
        <w:rPr>
          <w:rFonts w:ascii="Times New Roman" w:hAnsi="Times New Roman" w:cs="Times New Roman"/>
          <w:i/>
        </w:rPr>
        <w:t xml:space="preserve"> </w:t>
      </w:r>
      <w:proofErr w:type="spellStart"/>
      <w:r w:rsidRPr="00164AA1">
        <w:rPr>
          <w:rFonts w:ascii="Times New Roman" w:hAnsi="Times New Roman" w:cs="Times New Roman"/>
          <w:i/>
        </w:rPr>
        <w:t>kaohe</w:t>
      </w:r>
      <w:proofErr w:type="spellEnd"/>
      <w:r w:rsidRPr="00164AA1">
        <w:rPr>
          <w:rFonts w:ascii="Times New Roman" w:hAnsi="Times New Roman" w:cs="Times New Roman"/>
          <w:i/>
        </w:rPr>
        <w:t xml:space="preserve"> A ji </w:t>
      </w:r>
      <w:proofErr w:type="spellStart"/>
      <w:r w:rsidRPr="00164AA1">
        <w:rPr>
          <w:rFonts w:ascii="Times New Roman" w:hAnsi="Times New Roman" w:cs="Times New Roman"/>
          <w:i/>
        </w:rPr>
        <w:t>qiye</w:t>
      </w:r>
      <w:proofErr w:type="spellEnd"/>
      <w:r w:rsidRPr="00164AA1">
        <w:rPr>
          <w:rFonts w:ascii="Times New Roman" w:hAnsi="Times New Roman" w:cs="Times New Roman"/>
          <w:i/>
        </w:rPr>
        <w:t xml:space="preserve"> </w:t>
      </w:r>
      <w:proofErr w:type="spellStart"/>
      <w:r w:rsidRPr="00164AA1">
        <w:rPr>
          <w:rFonts w:ascii="Times New Roman" w:hAnsi="Times New Roman" w:cs="Times New Roman"/>
          <w:i/>
        </w:rPr>
        <w:t>mingdan</w:t>
      </w:r>
      <w:proofErr w:type="spellEnd"/>
      <w:r w:rsidRPr="00164AA1">
        <w:rPr>
          <w:rFonts w:ascii="Times New Roman" w:hAnsi="Times New Roman" w:cs="Times New Roman"/>
        </w:rPr>
        <w:t xml:space="preserve">” [2019 Annual Central SOE Responsible Persons Operating Performance Evaluation A-Level Enterprise List], July 20, 2020. </w:t>
      </w:r>
    </w:p>
  </w:footnote>
  <w:footnote w:id="46">
    <w:p w14:paraId="4E2A8D2E" w14:textId="77777777" w:rsidR="00315077" w:rsidRPr="00164AA1" w:rsidRDefault="00315077" w:rsidP="008E0CD3">
      <w:pPr>
        <w:pStyle w:val="FootnoteText"/>
        <w:snapToGrid w:val="0"/>
        <w:jc w:val="both"/>
        <w:rPr>
          <w:rFonts w:ascii="Times New Roman" w:eastAsia="SimSun" w:hAnsi="Times New Roman" w:cs="Times New Roman"/>
        </w:rPr>
      </w:pPr>
      <w:r w:rsidRPr="00164AA1">
        <w:rPr>
          <w:rStyle w:val="FootnoteReference"/>
          <w:rFonts w:ascii="Times New Roman" w:eastAsia="SimSun" w:hAnsi="Times New Roman" w:cs="Times New Roman"/>
        </w:rPr>
        <w:footnoteRef/>
      </w:r>
      <w:r w:rsidRPr="00164AA1">
        <w:rPr>
          <w:rFonts w:ascii="Times New Roman" w:eastAsia="SimSun" w:hAnsi="Times New Roman" w:cs="Times New Roman"/>
        </w:rPr>
        <w:t xml:space="preserve"> While all central SOE leaders are expected to preserve and increase the value of state-owned assets, SASAC also considers variation in size (</w:t>
      </w:r>
      <w:r w:rsidRPr="00164AA1">
        <w:rPr>
          <w:rFonts w:ascii="Times New Roman" w:eastAsia="SimSun" w:hAnsi="Times New Roman" w:cs="Times New Roman"/>
          <w:lang w:eastAsia="zh-CN"/>
        </w:rPr>
        <w:t>by assets), industry, geographic location (</w:t>
      </w:r>
      <w:proofErr w:type="gramStart"/>
      <w:r w:rsidRPr="00164AA1">
        <w:rPr>
          <w:rFonts w:ascii="Times New Roman" w:eastAsia="SimSun" w:hAnsi="Times New Roman" w:cs="Times New Roman"/>
          <w:lang w:eastAsia="zh-CN"/>
        </w:rPr>
        <w:t>e.g.</w:t>
      </w:r>
      <w:proofErr w:type="gramEnd"/>
      <w:r w:rsidRPr="00164AA1">
        <w:rPr>
          <w:rFonts w:ascii="Times New Roman" w:eastAsia="SimSun" w:hAnsi="Times New Roman" w:cs="Times New Roman"/>
          <w:lang w:eastAsia="zh-CN"/>
        </w:rPr>
        <w:t xml:space="preserve"> central SOEs located in Hong Kong), and form of corporate organization (e.g. whether a firm is organized as a wholly state-owned or a joint stock corporation). SASAC (2003), 38-41.</w:t>
      </w:r>
      <w:r w:rsidRPr="00164AA1">
        <w:rPr>
          <w:rFonts w:ascii="Times New Roman" w:eastAsia="SimSun" w:hAnsi="Times New Roman" w:cs="Times New Roman"/>
        </w:rPr>
        <w:t xml:space="preserve"> The Xi administration continues to explore evaluating central SOEs differently based on classifying them as industrial enterprise groups (</w:t>
      </w:r>
      <w:proofErr w:type="spellStart"/>
      <w:r w:rsidRPr="00164AA1">
        <w:rPr>
          <w:rFonts w:ascii="Times New Roman" w:eastAsia="SimSun" w:hAnsi="Times New Roman" w:cs="Times New Roman"/>
          <w:i/>
        </w:rPr>
        <w:t>shiti</w:t>
      </w:r>
      <w:proofErr w:type="spellEnd"/>
      <w:r w:rsidRPr="00164AA1">
        <w:rPr>
          <w:rFonts w:ascii="Times New Roman" w:eastAsia="SimSun" w:hAnsi="Times New Roman" w:cs="Times New Roman"/>
          <w:i/>
        </w:rPr>
        <w:t xml:space="preserve"> </w:t>
      </w:r>
      <w:proofErr w:type="spellStart"/>
      <w:r w:rsidRPr="00164AA1">
        <w:rPr>
          <w:rFonts w:ascii="Times New Roman" w:eastAsia="SimSun" w:hAnsi="Times New Roman" w:cs="Times New Roman"/>
          <w:i/>
        </w:rPr>
        <w:t>chanye</w:t>
      </w:r>
      <w:proofErr w:type="spellEnd"/>
      <w:r w:rsidRPr="00164AA1">
        <w:rPr>
          <w:rFonts w:ascii="Times New Roman" w:eastAsia="SimSun" w:hAnsi="Times New Roman" w:cs="Times New Roman"/>
          <w:i/>
        </w:rPr>
        <w:t xml:space="preserve"> </w:t>
      </w:r>
      <w:proofErr w:type="spellStart"/>
      <w:r w:rsidRPr="00164AA1">
        <w:rPr>
          <w:rFonts w:ascii="Times New Roman" w:eastAsia="SimSun" w:hAnsi="Times New Roman" w:cs="Times New Roman"/>
          <w:i/>
        </w:rPr>
        <w:t>jituan</w:t>
      </w:r>
      <w:proofErr w:type="spellEnd"/>
      <w:r w:rsidRPr="00164AA1">
        <w:rPr>
          <w:rFonts w:ascii="Times New Roman" w:eastAsia="SimSun" w:hAnsi="Times New Roman" w:cs="Times New Roman"/>
        </w:rPr>
        <w:t>), investment companies (</w:t>
      </w:r>
      <w:proofErr w:type="spellStart"/>
      <w:r w:rsidRPr="00164AA1">
        <w:rPr>
          <w:rFonts w:ascii="Times New Roman" w:eastAsia="SimSun" w:hAnsi="Times New Roman" w:cs="Times New Roman"/>
          <w:i/>
        </w:rPr>
        <w:t>touzi</w:t>
      </w:r>
      <w:proofErr w:type="spellEnd"/>
      <w:r w:rsidRPr="00164AA1">
        <w:rPr>
          <w:rFonts w:ascii="Times New Roman" w:eastAsia="SimSun" w:hAnsi="Times New Roman" w:cs="Times New Roman"/>
          <w:i/>
        </w:rPr>
        <w:t xml:space="preserve"> </w:t>
      </w:r>
      <w:proofErr w:type="spellStart"/>
      <w:r w:rsidRPr="00164AA1">
        <w:rPr>
          <w:rFonts w:ascii="Times New Roman" w:eastAsia="SimSun" w:hAnsi="Times New Roman" w:cs="Times New Roman"/>
          <w:i/>
        </w:rPr>
        <w:t>gongsi</w:t>
      </w:r>
      <w:proofErr w:type="spellEnd"/>
      <w:r w:rsidRPr="00164AA1">
        <w:rPr>
          <w:rFonts w:ascii="Times New Roman" w:eastAsia="SimSun" w:hAnsi="Times New Roman" w:cs="Times New Roman"/>
        </w:rPr>
        <w:t>), or operating companies (</w:t>
      </w:r>
      <w:proofErr w:type="spellStart"/>
      <w:r w:rsidRPr="00164AA1">
        <w:rPr>
          <w:rFonts w:ascii="Times New Roman" w:eastAsia="SimSun" w:hAnsi="Times New Roman" w:cs="Times New Roman"/>
          <w:i/>
        </w:rPr>
        <w:t>yunying</w:t>
      </w:r>
      <w:proofErr w:type="spellEnd"/>
      <w:r w:rsidRPr="00164AA1">
        <w:rPr>
          <w:rFonts w:ascii="Times New Roman" w:eastAsia="SimSun" w:hAnsi="Times New Roman" w:cs="Times New Roman"/>
          <w:i/>
        </w:rPr>
        <w:t xml:space="preserve"> </w:t>
      </w:r>
      <w:proofErr w:type="spellStart"/>
      <w:r w:rsidRPr="00164AA1">
        <w:rPr>
          <w:rFonts w:ascii="Times New Roman" w:eastAsia="SimSun" w:hAnsi="Times New Roman" w:cs="Times New Roman"/>
          <w:i/>
        </w:rPr>
        <w:t>gongsi</w:t>
      </w:r>
      <w:proofErr w:type="spellEnd"/>
      <w:r w:rsidRPr="00164AA1">
        <w:rPr>
          <w:rFonts w:ascii="Times New Roman" w:eastAsia="SimSun" w:hAnsi="Times New Roman" w:cs="Times New Roman"/>
        </w:rPr>
        <w:t xml:space="preserve">); however, central SOE classifications are not </w:t>
      </w:r>
      <w:proofErr w:type="gramStart"/>
      <w:r w:rsidRPr="00164AA1">
        <w:rPr>
          <w:rFonts w:ascii="Times New Roman" w:eastAsia="SimSun" w:hAnsi="Times New Roman" w:cs="Times New Roman"/>
        </w:rPr>
        <w:t>public</w:t>
      </w:r>
      <w:proofErr w:type="gramEnd"/>
      <w:r w:rsidRPr="00164AA1">
        <w:rPr>
          <w:rFonts w:ascii="Times New Roman" w:eastAsia="SimSun" w:hAnsi="Times New Roman" w:cs="Times New Roman"/>
        </w:rPr>
        <w:t xml:space="preserve"> and these efforts are ongoing. SASAC (2018), 212-213. In some cases, the COD solicits officials’ preferences before determining personnel appointments. Interview with retired ministerial-level official in Hong Kong in January 2016 (Institutional Review Board approval on file with authors). </w:t>
      </w:r>
    </w:p>
  </w:footnote>
  <w:footnote w:id="47">
    <w:p w14:paraId="5176EC29" w14:textId="77777777" w:rsidR="00315077" w:rsidRPr="00164AA1" w:rsidRDefault="00315077" w:rsidP="008E0CD3">
      <w:pPr>
        <w:pStyle w:val="FootnoteText"/>
        <w:rPr>
          <w:rFonts w:ascii="Times New Roman" w:hAnsi="Times New Roman" w:cs="Times New Roman"/>
        </w:rPr>
      </w:pPr>
      <w:r w:rsidRPr="00164AA1">
        <w:rPr>
          <w:rStyle w:val="FootnoteReference"/>
          <w:rFonts w:ascii="Times New Roman" w:hAnsi="Times New Roman" w:cs="Times New Roman"/>
        </w:rPr>
        <w:footnoteRef/>
      </w:r>
      <w:r w:rsidRPr="00164AA1">
        <w:rPr>
          <w:rFonts w:ascii="Times New Roman" w:hAnsi="Times New Roman" w:cs="Times New Roman"/>
        </w:rPr>
        <w:t xml:space="preserve"> </w:t>
      </w:r>
      <w:r w:rsidRPr="00164AA1">
        <w:rPr>
          <w:rFonts w:ascii="Times New Roman" w:eastAsia="SimSun" w:hAnsi="Times New Roman" w:cs="Times New Roman"/>
        </w:rPr>
        <w:t>Jiang (2018).</w:t>
      </w:r>
    </w:p>
  </w:footnote>
  <w:footnote w:id="48">
    <w:p w14:paraId="5A4EC18D" w14:textId="77777777" w:rsidR="00315077" w:rsidRPr="00164AA1" w:rsidRDefault="00315077" w:rsidP="008E0CD3">
      <w:pPr>
        <w:pStyle w:val="FootnoteText"/>
        <w:rPr>
          <w:rFonts w:ascii="Times New Roman" w:hAnsi="Times New Roman" w:cs="Times New Roman"/>
        </w:rPr>
      </w:pPr>
      <w:r w:rsidRPr="00164AA1">
        <w:rPr>
          <w:rStyle w:val="FootnoteReference"/>
          <w:rFonts w:ascii="Times New Roman" w:hAnsi="Times New Roman" w:cs="Times New Roman"/>
        </w:rPr>
        <w:footnoteRef/>
      </w:r>
      <w:r w:rsidRPr="00164AA1">
        <w:rPr>
          <w:rFonts w:ascii="Times New Roman" w:hAnsi="Times New Roman" w:cs="Times New Roman"/>
        </w:rPr>
        <w:t xml:space="preserve"> </w:t>
      </w:r>
      <w:r w:rsidRPr="00164AA1">
        <w:rPr>
          <w:rFonts w:ascii="Times New Roman" w:eastAsia="SimSun" w:hAnsi="Times New Roman" w:cs="Times New Roman"/>
        </w:rPr>
        <w:t>Shih, Adolph, and Liu (2012).</w:t>
      </w:r>
    </w:p>
  </w:footnote>
  <w:footnote w:id="49">
    <w:p w14:paraId="1A642434" w14:textId="77777777" w:rsidR="00315077" w:rsidRPr="00164AA1" w:rsidRDefault="00315077" w:rsidP="008E0CD3">
      <w:pPr>
        <w:pStyle w:val="FootnoteText"/>
        <w:rPr>
          <w:rFonts w:ascii="Times New Roman" w:hAnsi="Times New Roman" w:cs="Times New Roman"/>
        </w:rPr>
      </w:pPr>
      <w:r w:rsidRPr="00164AA1">
        <w:rPr>
          <w:rStyle w:val="FootnoteReference"/>
          <w:rFonts w:ascii="Times New Roman" w:hAnsi="Times New Roman" w:cs="Times New Roman"/>
        </w:rPr>
        <w:footnoteRef/>
      </w:r>
      <w:r w:rsidRPr="00164AA1">
        <w:rPr>
          <w:rFonts w:ascii="Times New Roman" w:hAnsi="Times New Roman" w:cs="Times New Roman"/>
        </w:rPr>
        <w:t xml:space="preserve"> </w:t>
      </w:r>
      <w:r w:rsidRPr="00164AA1">
        <w:rPr>
          <w:rFonts w:ascii="Times New Roman" w:eastAsia="SimSun" w:hAnsi="Times New Roman" w:cs="Times New Roman"/>
        </w:rPr>
        <w:t>Keller (2016).</w:t>
      </w:r>
    </w:p>
  </w:footnote>
  <w:footnote w:id="50">
    <w:p w14:paraId="0ECD9A89" w14:textId="77777777" w:rsidR="00315077" w:rsidRPr="00890C1A" w:rsidRDefault="00315077" w:rsidP="008E0CD3">
      <w:pPr>
        <w:pStyle w:val="FootnoteText"/>
        <w:rPr>
          <w:rFonts w:ascii="Times New Roman" w:hAnsi="Times New Roman" w:cs="Times New Roman"/>
        </w:rPr>
      </w:pPr>
      <w:r w:rsidRPr="00164AA1">
        <w:rPr>
          <w:rStyle w:val="FootnoteReference"/>
          <w:rFonts w:ascii="Times New Roman" w:hAnsi="Times New Roman" w:cs="Times New Roman"/>
        </w:rPr>
        <w:footnoteRef/>
      </w:r>
      <w:r w:rsidRPr="00164AA1">
        <w:rPr>
          <w:rFonts w:ascii="Times New Roman" w:hAnsi="Times New Roman" w:cs="Times New Roman"/>
        </w:rPr>
        <w:t xml:space="preserve"> </w:t>
      </w:r>
      <w:r w:rsidRPr="00D635D4">
        <w:rPr>
          <w:rFonts w:ascii="Times New Roman" w:eastAsia="SimSun" w:hAnsi="Times New Roman" w:cs="Times New Roman"/>
        </w:rPr>
        <w:t>Core central SOEs include approximately fifty firms</w:t>
      </w:r>
      <w:r w:rsidRPr="00792951">
        <w:rPr>
          <w:rFonts w:ascii="Times New Roman" w:hAnsi="Times New Roman" w:cs="Times New Roman"/>
        </w:rPr>
        <w:t xml:space="preserve">; the exact number </w:t>
      </w:r>
      <w:r w:rsidRPr="00CA4FBC">
        <w:rPr>
          <w:rFonts w:ascii="Times New Roman" w:hAnsi="Times New Roman" w:cs="Times New Roman"/>
        </w:rPr>
        <w:t>depends on the year because of restructuring and mergers within our sample timefra</w:t>
      </w:r>
      <w:r w:rsidRPr="00792951">
        <w:rPr>
          <w:rFonts w:ascii="Times New Roman" w:hAnsi="Times New Roman" w:cs="Times New Roman"/>
        </w:rPr>
        <w:t>me. For a detailed discussion of the sample, data sources, and measurement, see the Appendix.</w:t>
      </w:r>
      <w:r w:rsidRPr="00890C1A">
        <w:rPr>
          <w:rFonts w:ascii="Times New Roman" w:hAnsi="Times New Roman" w:cs="Times New Roman"/>
        </w:rPr>
        <w:t xml:space="preserve"> </w:t>
      </w:r>
    </w:p>
  </w:footnote>
  <w:footnote w:id="51">
    <w:p w14:paraId="00AE43BA" w14:textId="77777777" w:rsidR="00315077" w:rsidRPr="00890C1A" w:rsidRDefault="00315077" w:rsidP="008E0CD3">
      <w:pPr>
        <w:pStyle w:val="FootnoteText"/>
        <w:rPr>
          <w:rFonts w:ascii="Times New Roman" w:hAnsi="Times New Roman" w:cs="Times New Roman"/>
        </w:rPr>
      </w:pPr>
      <w:r w:rsidRPr="00890C1A">
        <w:rPr>
          <w:rStyle w:val="FootnoteReference"/>
          <w:rFonts w:ascii="Times New Roman" w:hAnsi="Times New Roman" w:cs="Times New Roman"/>
        </w:rPr>
        <w:footnoteRef/>
      </w:r>
      <w:r w:rsidRPr="00890C1A">
        <w:rPr>
          <w:rFonts w:ascii="Times New Roman" w:hAnsi="Times New Roman" w:cs="Times New Roman"/>
        </w:rPr>
        <w:t xml:space="preserve"> See Figure 2 for the administrative and personnel authority structure that distinguishes core central SOEs from non-core SOEs.</w:t>
      </w:r>
    </w:p>
  </w:footnote>
  <w:footnote w:id="52">
    <w:p w14:paraId="3868F4C3" w14:textId="77777777" w:rsidR="00315077" w:rsidRPr="00D656A6" w:rsidRDefault="00315077" w:rsidP="008E0CD3">
      <w:pPr>
        <w:pStyle w:val="FootnoteText"/>
        <w:snapToGrid w:val="0"/>
        <w:rPr>
          <w:rFonts w:ascii="Times New Roman" w:eastAsia="SimSun" w:hAnsi="Times New Roman" w:cs="Times New Roman"/>
        </w:rPr>
      </w:pPr>
      <w:r w:rsidRPr="00890C1A">
        <w:rPr>
          <w:rStyle w:val="FootnoteReference"/>
          <w:rFonts w:ascii="Times New Roman" w:eastAsia="SimSun" w:hAnsi="Times New Roman" w:cs="Times New Roman"/>
        </w:rPr>
        <w:footnoteRef/>
      </w:r>
      <w:r w:rsidRPr="00890C1A">
        <w:rPr>
          <w:rFonts w:ascii="Times New Roman" w:eastAsia="SimSun" w:hAnsi="Times New Roman" w:cs="Times New Roman"/>
        </w:rPr>
        <w:t xml:space="preserve"> Two leaders in our sample </w:t>
      </w:r>
      <w:r w:rsidRPr="00D656A6">
        <w:rPr>
          <w:rFonts w:ascii="Times New Roman" w:eastAsia="SimSun" w:hAnsi="Times New Roman" w:cs="Times New Roman"/>
        </w:rPr>
        <w:t xml:space="preserve">die while in office. One, Wu </w:t>
      </w:r>
      <w:proofErr w:type="spellStart"/>
      <w:r w:rsidRPr="00D656A6">
        <w:rPr>
          <w:rFonts w:ascii="Times New Roman" w:eastAsia="SimSun" w:hAnsi="Times New Roman" w:cs="Times New Roman"/>
        </w:rPr>
        <w:t>Shengfu</w:t>
      </w:r>
      <w:proofErr w:type="spellEnd"/>
      <w:r w:rsidRPr="00D656A6">
        <w:rPr>
          <w:rFonts w:ascii="Times New Roman" w:eastAsia="SimSun" w:hAnsi="Times New Roman" w:cs="Times New Roman"/>
        </w:rPr>
        <w:t xml:space="preserve"> of China First Heavy Industries, died at age 51 in an apparent suicide in connection with a corruption probe. Zhu </w:t>
      </w:r>
      <w:proofErr w:type="spellStart"/>
      <w:r w:rsidRPr="00D656A6">
        <w:rPr>
          <w:rFonts w:ascii="Times New Roman" w:eastAsia="SimSun" w:hAnsi="Times New Roman" w:cs="Times New Roman"/>
        </w:rPr>
        <w:t>Wenqian</w:t>
      </w:r>
      <w:proofErr w:type="spellEnd"/>
      <w:r w:rsidRPr="00D656A6">
        <w:rPr>
          <w:rFonts w:ascii="Times New Roman" w:eastAsia="SimSun" w:hAnsi="Times New Roman" w:cs="Times New Roman"/>
        </w:rPr>
        <w:t xml:space="preserve">, “Death of Company Boss Under Investigation May Be Suicide,” </w:t>
      </w:r>
      <w:r w:rsidRPr="00D656A6">
        <w:rPr>
          <w:rFonts w:ascii="Times New Roman" w:eastAsia="SimSun" w:hAnsi="Times New Roman" w:cs="Times New Roman"/>
          <w:i/>
        </w:rPr>
        <w:t xml:space="preserve">China Daily, </w:t>
      </w:r>
      <w:r w:rsidRPr="00D656A6">
        <w:rPr>
          <w:rFonts w:ascii="Times New Roman" w:eastAsia="SimSun" w:hAnsi="Times New Roman" w:cs="Times New Roman"/>
        </w:rPr>
        <w:t xml:space="preserve">4 August 2015. </w:t>
      </w:r>
    </w:p>
  </w:footnote>
  <w:footnote w:id="53">
    <w:p w14:paraId="2D82AD8A" w14:textId="77777777" w:rsidR="00315077" w:rsidRPr="00D656A6" w:rsidRDefault="00315077" w:rsidP="008E0CD3">
      <w:pPr>
        <w:pStyle w:val="FootnoteText"/>
        <w:snapToGrid w:val="0"/>
        <w:rPr>
          <w:rFonts w:ascii="Times New Roman" w:eastAsia="SimSun" w:hAnsi="Times New Roman" w:cs="Times New Roman"/>
        </w:rPr>
      </w:pPr>
      <w:r w:rsidRPr="00D656A6">
        <w:rPr>
          <w:rStyle w:val="FootnoteReference"/>
          <w:rFonts w:ascii="Times New Roman" w:eastAsia="SimSun" w:hAnsi="Times New Roman" w:cs="Times New Roman"/>
        </w:rPr>
        <w:footnoteRef/>
      </w:r>
      <w:r w:rsidRPr="00D656A6">
        <w:rPr>
          <w:rFonts w:ascii="Times New Roman" w:eastAsia="SimSun" w:hAnsi="Times New Roman" w:cs="Times New Roman"/>
        </w:rPr>
        <w:t xml:space="preserve"> The most common retirement ages in the sample are 61, 62, and 63, making up 17, 14, and 35 percent of retirements, respectively.</w:t>
      </w:r>
    </w:p>
  </w:footnote>
  <w:footnote w:id="54">
    <w:p w14:paraId="09485E21" w14:textId="77777777" w:rsidR="00315077" w:rsidRPr="00D656A6" w:rsidRDefault="00315077" w:rsidP="008E0CD3">
      <w:pPr>
        <w:snapToGrid w:val="0"/>
        <w:jc w:val="both"/>
        <w:rPr>
          <w:rFonts w:eastAsia="SimSun"/>
          <w:sz w:val="20"/>
          <w:szCs w:val="20"/>
        </w:rPr>
      </w:pPr>
      <w:r w:rsidRPr="00D656A6">
        <w:rPr>
          <w:rStyle w:val="FootnoteReference"/>
          <w:sz w:val="20"/>
          <w:szCs w:val="20"/>
        </w:rPr>
        <w:footnoteRef/>
      </w:r>
      <w:r w:rsidRPr="00D656A6">
        <w:rPr>
          <w:sz w:val="20"/>
          <w:szCs w:val="20"/>
        </w:rPr>
        <w:t xml:space="preserve"> </w:t>
      </w:r>
      <w:r w:rsidRPr="00D656A6">
        <w:rPr>
          <w:rFonts w:eastAsia="SimSun"/>
          <w:sz w:val="20"/>
          <w:szCs w:val="20"/>
        </w:rPr>
        <w:t xml:space="preserve">Xinhua News, </w:t>
      </w:r>
      <w:r w:rsidRPr="00D656A6">
        <w:rPr>
          <w:rFonts w:eastAsia="SimSun"/>
          <w:i/>
          <w:sz w:val="20"/>
          <w:szCs w:val="20"/>
        </w:rPr>
        <w:t xml:space="preserve">Zhongyang </w:t>
      </w:r>
      <w:proofErr w:type="spellStart"/>
      <w:r w:rsidRPr="00D656A6">
        <w:rPr>
          <w:rFonts w:eastAsia="SimSun"/>
          <w:i/>
          <w:sz w:val="20"/>
          <w:szCs w:val="20"/>
        </w:rPr>
        <w:t>jiwei</w:t>
      </w:r>
      <w:proofErr w:type="spellEnd"/>
      <w:r w:rsidRPr="00D656A6">
        <w:rPr>
          <w:rFonts w:eastAsia="SimSun"/>
          <w:i/>
          <w:sz w:val="20"/>
          <w:szCs w:val="20"/>
        </w:rPr>
        <w:t xml:space="preserve"> </w:t>
      </w:r>
      <w:proofErr w:type="spellStart"/>
      <w:r w:rsidRPr="00D656A6">
        <w:rPr>
          <w:rFonts w:eastAsia="SimSun"/>
          <w:i/>
          <w:sz w:val="20"/>
          <w:szCs w:val="20"/>
        </w:rPr>
        <w:t>jianchabu</w:t>
      </w:r>
      <w:proofErr w:type="spellEnd"/>
      <w:r w:rsidRPr="00D656A6">
        <w:rPr>
          <w:rFonts w:eastAsia="SimSun"/>
          <w:i/>
          <w:sz w:val="20"/>
          <w:szCs w:val="20"/>
        </w:rPr>
        <w:t xml:space="preserve"> </w:t>
      </w:r>
      <w:proofErr w:type="spellStart"/>
      <w:r w:rsidRPr="00D656A6">
        <w:rPr>
          <w:rFonts w:eastAsia="SimSun"/>
          <w:i/>
          <w:sz w:val="20"/>
          <w:szCs w:val="20"/>
        </w:rPr>
        <w:t>wangzhan</w:t>
      </w:r>
      <w:proofErr w:type="spellEnd"/>
      <w:r w:rsidRPr="00D656A6">
        <w:rPr>
          <w:rFonts w:eastAsia="SimSun"/>
          <w:i/>
          <w:sz w:val="20"/>
          <w:szCs w:val="20"/>
        </w:rPr>
        <w:t xml:space="preserve"> </w:t>
      </w:r>
      <w:proofErr w:type="spellStart"/>
      <w:r w:rsidRPr="00D656A6">
        <w:rPr>
          <w:rFonts w:eastAsia="SimSun"/>
          <w:i/>
          <w:sz w:val="20"/>
          <w:szCs w:val="20"/>
        </w:rPr>
        <w:t>yi</w:t>
      </w:r>
      <w:proofErr w:type="spellEnd"/>
      <w:r w:rsidRPr="00D656A6">
        <w:rPr>
          <w:rFonts w:eastAsia="SimSun"/>
          <w:i/>
          <w:sz w:val="20"/>
          <w:szCs w:val="20"/>
        </w:rPr>
        <w:t xml:space="preserve"> </w:t>
      </w:r>
      <w:proofErr w:type="spellStart"/>
      <w:r w:rsidRPr="00D656A6">
        <w:rPr>
          <w:rFonts w:eastAsia="SimSun"/>
          <w:i/>
          <w:sz w:val="20"/>
          <w:szCs w:val="20"/>
        </w:rPr>
        <w:t>fabu</w:t>
      </w:r>
      <w:proofErr w:type="spellEnd"/>
      <w:r w:rsidRPr="00D656A6">
        <w:rPr>
          <w:rFonts w:eastAsia="SimSun"/>
          <w:i/>
          <w:sz w:val="20"/>
          <w:szCs w:val="20"/>
        </w:rPr>
        <w:t xml:space="preserve"> </w:t>
      </w:r>
      <w:proofErr w:type="spellStart"/>
      <w:r w:rsidRPr="00D656A6">
        <w:rPr>
          <w:rFonts w:eastAsia="SimSun"/>
          <w:i/>
          <w:sz w:val="20"/>
          <w:szCs w:val="20"/>
        </w:rPr>
        <w:t>yangqi</w:t>
      </w:r>
      <w:proofErr w:type="spellEnd"/>
      <w:r w:rsidRPr="00D656A6">
        <w:rPr>
          <w:rFonts w:eastAsia="SimSun"/>
          <w:i/>
          <w:sz w:val="20"/>
          <w:szCs w:val="20"/>
        </w:rPr>
        <w:t xml:space="preserve"> </w:t>
      </w:r>
      <w:proofErr w:type="spellStart"/>
      <w:r w:rsidRPr="00D656A6">
        <w:rPr>
          <w:rFonts w:eastAsia="SimSun"/>
          <w:i/>
          <w:sz w:val="20"/>
          <w:szCs w:val="20"/>
        </w:rPr>
        <w:t>bei</w:t>
      </w:r>
      <w:proofErr w:type="spellEnd"/>
      <w:r w:rsidRPr="00D656A6">
        <w:rPr>
          <w:rFonts w:eastAsia="SimSun"/>
          <w:i/>
          <w:sz w:val="20"/>
          <w:szCs w:val="20"/>
        </w:rPr>
        <w:t xml:space="preserve"> </w:t>
      </w:r>
      <w:proofErr w:type="spellStart"/>
      <w:r w:rsidRPr="00D656A6">
        <w:rPr>
          <w:rFonts w:eastAsia="SimSun"/>
          <w:i/>
          <w:sz w:val="20"/>
          <w:szCs w:val="20"/>
        </w:rPr>
        <w:t>diaocha</w:t>
      </w:r>
      <w:proofErr w:type="spellEnd"/>
      <w:r w:rsidRPr="00D656A6">
        <w:rPr>
          <w:rFonts w:eastAsia="SimSun"/>
          <w:i/>
          <w:sz w:val="20"/>
          <w:szCs w:val="20"/>
        </w:rPr>
        <w:t xml:space="preserve"> </w:t>
      </w:r>
      <w:proofErr w:type="spellStart"/>
      <w:r w:rsidRPr="00D656A6">
        <w:rPr>
          <w:rFonts w:eastAsia="SimSun"/>
          <w:i/>
          <w:sz w:val="20"/>
          <w:szCs w:val="20"/>
        </w:rPr>
        <w:t>lingdao</w:t>
      </w:r>
      <w:proofErr w:type="spellEnd"/>
      <w:r w:rsidRPr="00D656A6">
        <w:rPr>
          <w:rFonts w:eastAsia="SimSun"/>
          <w:i/>
          <w:sz w:val="20"/>
          <w:szCs w:val="20"/>
        </w:rPr>
        <w:t xml:space="preserve"> 64 ren</w:t>
      </w:r>
      <w:r w:rsidRPr="00D656A6">
        <w:rPr>
          <w:rFonts w:eastAsia="SimSun"/>
          <w:sz w:val="20"/>
          <w:szCs w:val="20"/>
        </w:rPr>
        <w:t xml:space="preserve"> [CCDI Inspection Department Website Announced 64 Central State-Owned Enterprise Leaders Have Been Investigated], 5 January 2016.</w:t>
      </w:r>
    </w:p>
  </w:footnote>
  <w:footnote w:id="55">
    <w:p w14:paraId="384FC70B" w14:textId="77777777" w:rsidR="00315077" w:rsidRPr="00D656A6" w:rsidRDefault="00315077" w:rsidP="008E0CD3">
      <w:pPr>
        <w:pStyle w:val="FootnoteText"/>
        <w:rPr>
          <w:rFonts w:ascii="Times New Roman" w:hAnsi="Times New Roman" w:cs="Times New Roman"/>
        </w:rPr>
      </w:pPr>
      <w:r w:rsidRPr="00D656A6">
        <w:rPr>
          <w:rStyle w:val="FootnoteReference"/>
          <w:rFonts w:ascii="Times New Roman" w:hAnsi="Times New Roman" w:cs="Times New Roman"/>
        </w:rPr>
        <w:footnoteRef/>
      </w:r>
      <w:r w:rsidRPr="00D656A6">
        <w:rPr>
          <w:rFonts w:ascii="Times New Roman" w:hAnsi="Times New Roman" w:cs="Times New Roman"/>
        </w:rPr>
        <w:t xml:space="preserve"> </w:t>
      </w:r>
      <w:r w:rsidRPr="00D656A6">
        <w:rPr>
          <w:rFonts w:ascii="Times New Roman" w:eastAsia="SimSun" w:hAnsi="Times New Roman" w:cs="Times New Roman"/>
        </w:rPr>
        <w:t xml:space="preserve">Li and Zhou (2005). </w:t>
      </w:r>
    </w:p>
  </w:footnote>
  <w:footnote w:id="56">
    <w:p w14:paraId="6793CD88" w14:textId="77777777" w:rsidR="00315077" w:rsidRPr="00D656A6" w:rsidRDefault="00315077" w:rsidP="008E0CD3">
      <w:pPr>
        <w:pStyle w:val="FootnoteText"/>
        <w:rPr>
          <w:rFonts w:ascii="Times New Roman" w:hAnsi="Times New Roman" w:cs="Times New Roman"/>
        </w:rPr>
      </w:pPr>
      <w:r w:rsidRPr="00D656A6">
        <w:rPr>
          <w:rStyle w:val="FootnoteReference"/>
          <w:rFonts w:ascii="Times New Roman" w:hAnsi="Times New Roman" w:cs="Times New Roman"/>
        </w:rPr>
        <w:footnoteRef/>
      </w:r>
      <w:r w:rsidRPr="00D656A6">
        <w:rPr>
          <w:rFonts w:ascii="Times New Roman" w:hAnsi="Times New Roman" w:cs="Times New Roman"/>
        </w:rPr>
        <w:t xml:space="preserve"> </w:t>
      </w:r>
      <w:r w:rsidRPr="00D656A6">
        <w:rPr>
          <w:rFonts w:ascii="Times New Roman" w:eastAsia="SimSun" w:hAnsi="Times New Roman" w:cs="Times New Roman"/>
        </w:rPr>
        <w:t>Landry (2008).</w:t>
      </w:r>
    </w:p>
  </w:footnote>
  <w:footnote w:id="57">
    <w:p w14:paraId="2C40C0C3" w14:textId="77777777" w:rsidR="00315077" w:rsidRPr="00A3702F" w:rsidRDefault="00315077" w:rsidP="008E0CD3">
      <w:pPr>
        <w:pStyle w:val="FootnoteText"/>
        <w:snapToGrid w:val="0"/>
        <w:rPr>
          <w:rFonts w:ascii="Times New Roman" w:eastAsia="SimSun" w:hAnsi="Times New Roman" w:cs="Times New Roman"/>
          <w:lang w:eastAsia="zh-CN"/>
        </w:rPr>
      </w:pPr>
      <w:r w:rsidRPr="00D656A6">
        <w:rPr>
          <w:rStyle w:val="FootnoteReference"/>
          <w:rFonts w:ascii="Times New Roman" w:eastAsia="SimSun" w:hAnsi="Times New Roman" w:cs="Times New Roman"/>
        </w:rPr>
        <w:footnoteRef/>
      </w:r>
      <w:r w:rsidRPr="00D656A6">
        <w:rPr>
          <w:rFonts w:ascii="Times New Roman" w:eastAsia="SimSun" w:hAnsi="Times New Roman" w:cs="Times New Roman"/>
          <w:lang w:eastAsia="zh-CN"/>
        </w:rPr>
        <w:t xml:space="preserve"> In the </w:t>
      </w:r>
      <w:r w:rsidRPr="00A3702F">
        <w:rPr>
          <w:rFonts w:ascii="Times New Roman" w:eastAsia="SimSun" w:hAnsi="Times New Roman" w:cs="Times New Roman"/>
          <w:lang w:eastAsia="zh-CN"/>
        </w:rPr>
        <w:t xml:space="preserve">sample of fifty-three core central SOEs, only three did not have a publicly listed subsidiary during the study period: China National </w:t>
      </w:r>
      <w:proofErr w:type="spellStart"/>
      <w:r w:rsidRPr="00A3702F">
        <w:rPr>
          <w:rFonts w:ascii="Times New Roman" w:eastAsia="SimSun" w:hAnsi="Times New Roman" w:cs="Times New Roman"/>
          <w:lang w:eastAsia="zh-CN"/>
        </w:rPr>
        <w:t>Erzhong</w:t>
      </w:r>
      <w:proofErr w:type="spellEnd"/>
      <w:r w:rsidRPr="00A3702F">
        <w:rPr>
          <w:rFonts w:ascii="Times New Roman" w:eastAsia="SimSun" w:hAnsi="Times New Roman" w:cs="Times New Roman"/>
          <w:lang w:eastAsia="zh-CN"/>
        </w:rPr>
        <w:t xml:space="preserve"> Group, </w:t>
      </w:r>
      <w:proofErr w:type="spellStart"/>
      <w:r w:rsidRPr="00A3702F">
        <w:rPr>
          <w:rFonts w:ascii="Times New Roman" w:eastAsia="SimSun" w:hAnsi="Times New Roman" w:cs="Times New Roman"/>
          <w:lang w:eastAsia="zh-CN"/>
        </w:rPr>
        <w:t>Sinograin</w:t>
      </w:r>
      <w:proofErr w:type="spellEnd"/>
      <w:r w:rsidRPr="00A3702F">
        <w:rPr>
          <w:rFonts w:ascii="Times New Roman" w:eastAsia="SimSun" w:hAnsi="Times New Roman" w:cs="Times New Roman"/>
          <w:lang w:eastAsia="zh-CN"/>
        </w:rPr>
        <w:t xml:space="preserve">, and Commercial Aircraft Corporation of China (COMAC). The leaders of these firms are dropped from the analysis. In core central SOEs, the board chairman typically serves jointly as the head of the flagship subsidiary, thereby reducing potential concern that subsidiary performance is a function of a different executive.  </w:t>
      </w:r>
    </w:p>
  </w:footnote>
  <w:footnote w:id="58">
    <w:p w14:paraId="4B2FB0F6" w14:textId="77777777" w:rsidR="00315077" w:rsidRPr="00A3702F" w:rsidRDefault="00315077" w:rsidP="008E0CD3">
      <w:pPr>
        <w:pStyle w:val="FootnoteText"/>
        <w:rPr>
          <w:rFonts w:ascii="Times New Roman" w:hAnsi="Times New Roman" w:cs="Times New Roman"/>
        </w:rPr>
      </w:pPr>
      <w:r w:rsidRPr="00A3702F">
        <w:rPr>
          <w:rStyle w:val="FootnoteReference"/>
          <w:rFonts w:ascii="Times New Roman" w:hAnsi="Times New Roman" w:cs="Times New Roman"/>
        </w:rPr>
        <w:footnoteRef/>
      </w:r>
      <w:r w:rsidRPr="00A3702F">
        <w:rPr>
          <w:rFonts w:ascii="Times New Roman" w:hAnsi="Times New Roman" w:cs="Times New Roman"/>
        </w:rPr>
        <w:t xml:space="preserve"> Return on assets (ROA) refers to the </w:t>
      </w:r>
      <w:r w:rsidRPr="00A3702F">
        <w:rPr>
          <w:rFonts w:ascii="Times New Roman" w:eastAsia="SimSun" w:hAnsi="Times New Roman" w:cs="Times New Roman"/>
        </w:rPr>
        <w:t>ratio of net income to total assets. ROA</w:t>
      </w:r>
      <w:r w:rsidRPr="00A3702F">
        <w:rPr>
          <w:rFonts w:ascii="Times New Roman" w:hAnsi="Times New Roman" w:cs="Times New Roman"/>
        </w:rPr>
        <w:t xml:space="preserve"> is the most common accounting measure for profitability and a standard measure of firm performance. It is used widely in studies of Chinese firms, both private and public. See for example </w:t>
      </w:r>
      <w:r>
        <w:rPr>
          <w:rFonts w:ascii="Times New Roman" w:hAnsi="Times New Roman" w:cs="Times New Roman"/>
        </w:rPr>
        <w:t xml:space="preserve">Chang and Wong (2004); Tian and Estrin (2008); </w:t>
      </w:r>
      <w:r w:rsidRPr="00A3702F">
        <w:rPr>
          <w:rFonts w:ascii="Times New Roman" w:hAnsi="Times New Roman" w:cs="Times New Roman"/>
        </w:rPr>
        <w:t>Wang (2005)</w:t>
      </w:r>
      <w:r>
        <w:rPr>
          <w:rFonts w:ascii="Times New Roman" w:hAnsi="Times New Roman" w:cs="Times New Roman"/>
        </w:rPr>
        <w:t>.</w:t>
      </w:r>
    </w:p>
  </w:footnote>
  <w:footnote w:id="59">
    <w:p w14:paraId="7FA4A913" w14:textId="77777777" w:rsidR="00315077" w:rsidRPr="00A3702F" w:rsidRDefault="00315077" w:rsidP="008E0CD3">
      <w:pPr>
        <w:pStyle w:val="FootnoteText"/>
        <w:rPr>
          <w:rFonts w:ascii="Times New Roman" w:hAnsi="Times New Roman" w:cs="Times New Roman"/>
        </w:rPr>
      </w:pPr>
      <w:r w:rsidRPr="00A3702F">
        <w:rPr>
          <w:rStyle w:val="FootnoteReference"/>
          <w:rFonts w:ascii="Times New Roman" w:hAnsi="Times New Roman" w:cs="Times New Roman"/>
        </w:rPr>
        <w:footnoteRef/>
      </w:r>
      <w:r w:rsidRPr="00A3702F">
        <w:rPr>
          <w:rFonts w:ascii="Times New Roman" w:hAnsi="Times New Roman" w:cs="Times New Roman"/>
        </w:rPr>
        <w:t xml:space="preserve"> </w:t>
      </w:r>
      <w:r w:rsidRPr="00A3702F">
        <w:rPr>
          <w:rFonts w:ascii="Times New Roman" w:eastAsia="SimSun" w:hAnsi="Times New Roman" w:cs="Times New Roman"/>
        </w:rPr>
        <w:t xml:space="preserve">Jiang (2018); Keller (2016); Landry, </w:t>
      </w:r>
      <w:proofErr w:type="spellStart"/>
      <w:r w:rsidRPr="00A3702F">
        <w:rPr>
          <w:rFonts w:ascii="Times New Roman" w:hAnsi="Times New Roman" w:cs="Times New Roman"/>
        </w:rPr>
        <w:t>Lü</w:t>
      </w:r>
      <w:proofErr w:type="spellEnd"/>
      <w:r w:rsidRPr="00A3702F">
        <w:rPr>
          <w:rFonts w:ascii="Times New Roman" w:eastAsia="SimSun" w:hAnsi="Times New Roman" w:cs="Times New Roman"/>
        </w:rPr>
        <w:t xml:space="preserve"> and Duan (2018); Meyer, Shih and Lee (2016).</w:t>
      </w:r>
    </w:p>
  </w:footnote>
  <w:footnote w:id="60">
    <w:p w14:paraId="6AF74AB1" w14:textId="77777777" w:rsidR="00315077" w:rsidRPr="00A3702F" w:rsidRDefault="00315077" w:rsidP="008E0CD3">
      <w:pPr>
        <w:pStyle w:val="FootnoteText"/>
        <w:rPr>
          <w:rFonts w:ascii="Times New Roman" w:hAnsi="Times New Roman" w:cs="Times New Roman"/>
        </w:rPr>
      </w:pPr>
      <w:r w:rsidRPr="00A3702F">
        <w:rPr>
          <w:rStyle w:val="FootnoteReference"/>
          <w:rFonts w:ascii="Times New Roman" w:hAnsi="Times New Roman" w:cs="Times New Roman"/>
        </w:rPr>
        <w:footnoteRef/>
      </w:r>
      <w:r w:rsidRPr="00A3702F">
        <w:rPr>
          <w:rFonts w:ascii="Times New Roman" w:hAnsi="Times New Roman" w:cs="Times New Roman"/>
        </w:rPr>
        <w:t xml:space="preserve"> </w:t>
      </w:r>
      <w:r w:rsidRPr="00A3702F">
        <w:rPr>
          <w:rFonts w:ascii="Times New Roman" w:eastAsia="SimSun" w:hAnsi="Times New Roman" w:cs="Times New Roman"/>
        </w:rPr>
        <w:t xml:space="preserve">Jiang (2018); Landry, </w:t>
      </w:r>
      <w:proofErr w:type="spellStart"/>
      <w:r w:rsidRPr="00A3702F">
        <w:rPr>
          <w:rFonts w:ascii="Times New Roman" w:hAnsi="Times New Roman" w:cs="Times New Roman"/>
        </w:rPr>
        <w:t>Lü</w:t>
      </w:r>
      <w:proofErr w:type="spellEnd"/>
      <w:r w:rsidRPr="00A3702F">
        <w:rPr>
          <w:rFonts w:ascii="Times New Roman" w:eastAsia="SimSun" w:hAnsi="Times New Roman" w:cs="Times New Roman"/>
        </w:rPr>
        <w:t xml:space="preserve"> and Duan (2018); Meyer, Shih and Lee (2016).</w:t>
      </w:r>
    </w:p>
  </w:footnote>
  <w:footnote w:id="61">
    <w:p w14:paraId="2BF94DD5" w14:textId="77777777" w:rsidR="00315077" w:rsidRPr="00A3702F" w:rsidRDefault="00315077" w:rsidP="008E0CD3">
      <w:pPr>
        <w:pStyle w:val="FootnoteText"/>
        <w:rPr>
          <w:rFonts w:ascii="Times New Roman" w:hAnsi="Times New Roman" w:cs="Times New Roman"/>
        </w:rPr>
      </w:pPr>
      <w:r w:rsidRPr="00A3702F">
        <w:rPr>
          <w:rStyle w:val="FootnoteReference"/>
          <w:rFonts w:ascii="Times New Roman" w:hAnsi="Times New Roman" w:cs="Times New Roman"/>
        </w:rPr>
        <w:footnoteRef/>
      </w:r>
      <w:r w:rsidRPr="00A3702F">
        <w:rPr>
          <w:rFonts w:ascii="Times New Roman" w:hAnsi="Times New Roman" w:cs="Times New Roman"/>
        </w:rPr>
        <w:t xml:space="preserve"> See Appendix Table A2 for specific SASAC and COD director names and tenure dates. </w:t>
      </w:r>
    </w:p>
  </w:footnote>
  <w:footnote w:id="62">
    <w:p w14:paraId="162B9CA7" w14:textId="77777777" w:rsidR="00315077" w:rsidRPr="00A3702F" w:rsidRDefault="00315077" w:rsidP="008E0CD3">
      <w:pPr>
        <w:pStyle w:val="FootnoteText"/>
        <w:rPr>
          <w:rFonts w:ascii="Times New Roman" w:hAnsi="Times New Roman" w:cs="Times New Roman"/>
        </w:rPr>
      </w:pPr>
      <w:r w:rsidRPr="00A3702F">
        <w:rPr>
          <w:rStyle w:val="FootnoteReference"/>
          <w:rFonts w:ascii="Times New Roman" w:hAnsi="Times New Roman" w:cs="Times New Roman"/>
        </w:rPr>
        <w:footnoteRef/>
      </w:r>
      <w:r w:rsidRPr="00A3702F">
        <w:rPr>
          <w:rFonts w:ascii="Times New Roman" w:hAnsi="Times New Roman" w:cs="Times New Roman"/>
        </w:rPr>
        <w:t xml:space="preserve"> A COD official expressed that its Enterprise Division, the internal department responsible for the management of core central SOE leaders, is “extremely familiar” with these individuals. Personal communication with COD official, January 2019.</w:t>
      </w:r>
    </w:p>
  </w:footnote>
  <w:footnote w:id="63">
    <w:p w14:paraId="222575F5" w14:textId="77777777" w:rsidR="00315077" w:rsidRPr="00A3702F" w:rsidRDefault="00315077" w:rsidP="008E0CD3">
      <w:pPr>
        <w:pStyle w:val="FootnoteText"/>
        <w:rPr>
          <w:rFonts w:ascii="Times New Roman" w:hAnsi="Times New Roman" w:cs="Times New Roman"/>
        </w:rPr>
      </w:pPr>
      <w:r w:rsidRPr="00A3702F">
        <w:rPr>
          <w:rStyle w:val="FootnoteReference"/>
          <w:rFonts w:ascii="Times New Roman" w:hAnsi="Times New Roman" w:cs="Times New Roman"/>
        </w:rPr>
        <w:footnoteRef/>
      </w:r>
      <w:r w:rsidRPr="00A3702F">
        <w:rPr>
          <w:rFonts w:ascii="Times New Roman" w:hAnsi="Times New Roman" w:cs="Times New Roman"/>
        </w:rPr>
        <w:t xml:space="preserve"> Since mandatory retirement age is not strictly applied, a continuous measure of age more accurately tracks the Chinese context. As a robustness check, we evaluated whether those who stay in their position after retirement age had better connections than the average leader and there is no correlation.</w:t>
      </w:r>
    </w:p>
  </w:footnote>
  <w:footnote w:id="64">
    <w:p w14:paraId="122AEFD4" w14:textId="77777777" w:rsidR="00315077" w:rsidRPr="00A3702F" w:rsidRDefault="00315077" w:rsidP="008E0CD3">
      <w:pPr>
        <w:pStyle w:val="FootnoteText"/>
        <w:rPr>
          <w:rFonts w:ascii="Times New Roman" w:hAnsi="Times New Roman" w:cs="Times New Roman"/>
        </w:rPr>
      </w:pPr>
      <w:r w:rsidRPr="00A3702F">
        <w:rPr>
          <w:rStyle w:val="FootnoteReference"/>
          <w:rFonts w:ascii="Times New Roman" w:hAnsi="Times New Roman" w:cs="Times New Roman"/>
        </w:rPr>
        <w:footnoteRef/>
      </w:r>
      <w:r w:rsidRPr="00A3702F">
        <w:rPr>
          <w:rFonts w:ascii="Times New Roman" w:hAnsi="Times New Roman" w:cs="Times New Roman"/>
        </w:rPr>
        <w:t xml:space="preserve"> </w:t>
      </w:r>
      <w:r w:rsidRPr="00A3702F">
        <w:rPr>
          <w:rFonts w:ascii="Times New Roman" w:eastAsia="SimSun" w:hAnsi="Times New Roman" w:cs="Times New Roman"/>
        </w:rPr>
        <w:t xml:space="preserve">An alternative modeling strategy is event history analysis. We do not conduct a survival analysis for multiple reasons, preferring to use the standard models used for elite management in China. A discrete event history analysis suggests event history analysis may be inappropriate for our dataset (see Appendix for discussion). Multivariate models allow us to compare multiple outcomes without superimposing which outcome is better than another. </w:t>
      </w:r>
    </w:p>
  </w:footnote>
  <w:footnote w:id="65">
    <w:p w14:paraId="143F57DC" w14:textId="77777777" w:rsidR="00315077" w:rsidRPr="00211DAB" w:rsidRDefault="00315077" w:rsidP="008E0CD3">
      <w:pPr>
        <w:pStyle w:val="FootnoteText"/>
        <w:rPr>
          <w:rFonts w:ascii="Times New Roman" w:hAnsi="Times New Roman" w:cs="Times New Roman"/>
        </w:rPr>
      </w:pPr>
      <w:r w:rsidRPr="00211DAB">
        <w:rPr>
          <w:rStyle w:val="FootnoteReference"/>
          <w:rFonts w:ascii="Times New Roman" w:hAnsi="Times New Roman" w:cs="Times New Roman"/>
        </w:rPr>
        <w:footnoteRef/>
      </w:r>
      <w:r w:rsidRPr="00211DAB">
        <w:rPr>
          <w:rFonts w:ascii="Times New Roman" w:hAnsi="Times New Roman" w:cs="Times New Roman"/>
        </w:rPr>
        <w:t xml:space="preserve"> Calculated from the cumulative connections model. Models include all control variables and leadership experience variables. Results robust to the inclusion of performance measures. </w:t>
      </w:r>
    </w:p>
  </w:footnote>
  <w:footnote w:id="66">
    <w:p w14:paraId="5D1A3D1B" w14:textId="77777777" w:rsidR="00315077" w:rsidRPr="00211DAB" w:rsidRDefault="00315077" w:rsidP="008E0CD3">
      <w:pPr>
        <w:pStyle w:val="FootnoteText"/>
        <w:rPr>
          <w:rFonts w:ascii="Times New Roman" w:hAnsi="Times New Roman" w:cs="Times New Roman"/>
        </w:rPr>
      </w:pPr>
      <w:r w:rsidRPr="00211DAB">
        <w:rPr>
          <w:rStyle w:val="FootnoteReference"/>
          <w:rFonts w:ascii="Times New Roman" w:hAnsi="Times New Roman" w:cs="Times New Roman"/>
        </w:rPr>
        <w:footnoteRef/>
      </w:r>
      <w:r w:rsidRPr="00211DAB">
        <w:rPr>
          <w:rFonts w:ascii="Times New Roman" w:hAnsi="Times New Roman" w:cs="Times New Roman"/>
        </w:rPr>
        <w:t xml:space="preserve"> See Appendix Figure A1 Panel A for graph of marginal effects of tenure.</w:t>
      </w:r>
    </w:p>
  </w:footnote>
  <w:footnote w:id="67">
    <w:p w14:paraId="52A718C3" w14:textId="77777777" w:rsidR="00315077" w:rsidRPr="00AD67C7" w:rsidRDefault="00315077" w:rsidP="008E0CD3">
      <w:pPr>
        <w:pStyle w:val="FootnoteText"/>
        <w:rPr>
          <w:rFonts w:cs="Times New Roman"/>
        </w:rPr>
      </w:pPr>
      <w:r w:rsidRPr="00211DAB">
        <w:rPr>
          <w:rStyle w:val="FootnoteReference"/>
          <w:rFonts w:ascii="Times New Roman" w:hAnsi="Times New Roman" w:cs="Times New Roman"/>
        </w:rPr>
        <w:footnoteRef/>
      </w:r>
      <w:r w:rsidRPr="00211DAB">
        <w:rPr>
          <w:rFonts w:ascii="Times New Roman" w:hAnsi="Times New Roman" w:cs="Times New Roman"/>
        </w:rPr>
        <w:t xml:space="preserve"> Connectedness at the central level and with the COD director are highly correlated (ρ=0.7). Because of multicollinearity concerns, estimates of COD connectedness while controlling for other connections does not include the central connectedness measure.</w:t>
      </w:r>
      <w:r w:rsidRPr="00AD67C7">
        <w:rPr>
          <w:rFonts w:cs="Times New Roman"/>
        </w:rPr>
        <w:t xml:space="preserve"> </w:t>
      </w:r>
    </w:p>
  </w:footnote>
  <w:footnote w:id="68">
    <w:p w14:paraId="6F6DD684" w14:textId="77777777" w:rsidR="00315077" w:rsidRDefault="00315077" w:rsidP="008E0CD3">
      <w:pPr>
        <w:pStyle w:val="FootnoteText"/>
      </w:pPr>
      <w:r>
        <w:rPr>
          <w:rStyle w:val="FootnoteReference"/>
        </w:rPr>
        <w:footnoteRef/>
      </w:r>
      <w:r>
        <w:t xml:space="preserve"> </w:t>
      </w:r>
      <w:r w:rsidRPr="00D635D4">
        <w:rPr>
          <w:rFonts w:ascii="Times New Roman" w:hAnsi="Times New Roman" w:cs="Times New Roman"/>
        </w:rPr>
        <w:t>Research showing that the majority of core central SOE executives are “state-owned industry careerists,” many of whom rose to leadership after years working inside the same companies, alleviates if not entirely obviates concerns of external manipulation. Leutert (2018)</w:t>
      </w:r>
      <w:r>
        <w:rPr>
          <w:rFonts w:ascii="Times New Roman" w:hAnsi="Times New Roman" w:cs="Times New Roman"/>
        </w:rPr>
        <w:t>, 8</w:t>
      </w:r>
      <w:r w:rsidRPr="00D635D4">
        <w:rPr>
          <w:rFonts w:ascii="Times New Roman" w:hAnsi="Times New Roman" w:cs="Times New Roman"/>
        </w:rPr>
        <w:t>.</w:t>
      </w:r>
    </w:p>
  </w:footnote>
  <w:footnote w:id="69">
    <w:p w14:paraId="63CB7273" w14:textId="77777777" w:rsidR="00315077" w:rsidRPr="00211DAB" w:rsidRDefault="00315077" w:rsidP="008E0CD3">
      <w:pPr>
        <w:pStyle w:val="FootnoteText"/>
        <w:rPr>
          <w:rFonts w:ascii="Times New Roman" w:hAnsi="Times New Roman" w:cs="Times New Roman"/>
        </w:rPr>
      </w:pPr>
      <w:r w:rsidRPr="00211DAB">
        <w:rPr>
          <w:rStyle w:val="FootnoteReference"/>
          <w:rFonts w:ascii="Times New Roman" w:hAnsi="Times New Roman" w:cs="Times New Roman"/>
        </w:rPr>
        <w:footnoteRef/>
      </w:r>
      <w:r w:rsidRPr="00211DAB">
        <w:rPr>
          <w:rFonts w:ascii="Times New Roman" w:hAnsi="Times New Roman" w:cs="Times New Roman"/>
        </w:rPr>
        <w:t xml:space="preserve"> Cuervo-</w:t>
      </w:r>
      <w:proofErr w:type="spellStart"/>
      <w:r w:rsidRPr="00211DAB">
        <w:rPr>
          <w:rFonts w:ascii="Times New Roman" w:hAnsi="Times New Roman" w:cs="Times New Roman"/>
        </w:rPr>
        <w:t>Cazurra</w:t>
      </w:r>
      <w:proofErr w:type="spellEnd"/>
      <w:r w:rsidRPr="00211DAB">
        <w:rPr>
          <w:rFonts w:ascii="Times New Roman" w:hAnsi="Times New Roman" w:cs="Times New Roman"/>
        </w:rPr>
        <w:t xml:space="preserve"> et al. (2014), 920.</w:t>
      </w:r>
    </w:p>
  </w:footnote>
  <w:footnote w:id="70">
    <w:p w14:paraId="0EF28038" w14:textId="77777777" w:rsidR="00315077" w:rsidRPr="00211DAB" w:rsidRDefault="00315077" w:rsidP="008E0CD3">
      <w:pPr>
        <w:pStyle w:val="FootnoteText"/>
        <w:rPr>
          <w:rFonts w:ascii="Times New Roman" w:hAnsi="Times New Roman" w:cs="Times New Roman"/>
        </w:rPr>
      </w:pPr>
      <w:r w:rsidRPr="00211DAB">
        <w:rPr>
          <w:rStyle w:val="FootnoteReference"/>
          <w:rFonts w:ascii="Times New Roman" w:hAnsi="Times New Roman" w:cs="Times New Roman"/>
        </w:rPr>
        <w:footnoteRef/>
      </w:r>
      <w:r w:rsidRPr="00211DAB">
        <w:rPr>
          <w:rFonts w:ascii="Times New Roman" w:hAnsi="Times New Roman" w:cs="Times New Roman"/>
        </w:rPr>
        <w:t xml:space="preserve"> Ibid., 920.</w:t>
      </w:r>
    </w:p>
  </w:footnote>
  <w:footnote w:id="71">
    <w:p w14:paraId="082DA10A" w14:textId="77777777" w:rsidR="00315077" w:rsidRDefault="00315077" w:rsidP="008E0CD3">
      <w:pPr>
        <w:pStyle w:val="FootnoteText"/>
      </w:pPr>
      <w:r w:rsidRPr="00211DAB">
        <w:rPr>
          <w:rStyle w:val="FootnoteReference"/>
          <w:rFonts w:ascii="Times New Roman" w:hAnsi="Times New Roman" w:cs="Times New Roman"/>
        </w:rPr>
        <w:footnoteRef/>
      </w:r>
      <w:r w:rsidRPr="00211DAB">
        <w:rPr>
          <w:rFonts w:ascii="Times New Roman" w:hAnsi="Times New Roman" w:cs="Times New Roman"/>
        </w:rPr>
        <w:t xml:space="preserve"> Meyer et al. (2018).</w:t>
      </w:r>
    </w:p>
  </w:footnote>
  <w:footnote w:id="72">
    <w:p w14:paraId="616595F0" w14:textId="77777777" w:rsidR="00315077" w:rsidRDefault="00315077" w:rsidP="00315077">
      <w:pPr>
        <w:pStyle w:val="FootnoteText"/>
      </w:pPr>
      <w:r>
        <w:rPr>
          <w:rStyle w:val="FootnoteReference"/>
        </w:rPr>
        <w:footnoteRef/>
      </w:r>
      <w:r>
        <w:t xml:space="preserve"> </w:t>
      </w:r>
      <w:r w:rsidRPr="00935E1F">
        <w:rPr>
          <w:rFonts w:ascii="Times New Roman" w:eastAsia="SimSun" w:hAnsi="Times New Roman" w:cs="Times New Roman"/>
        </w:rPr>
        <w:t>Landry (2008); Shih, Adolph and Liu (2012).</w:t>
      </w:r>
    </w:p>
  </w:footnote>
  <w:footnote w:id="73">
    <w:p w14:paraId="11360E6D" w14:textId="77777777" w:rsidR="00315077" w:rsidRPr="00601AB9" w:rsidRDefault="00315077" w:rsidP="00315077">
      <w:pPr>
        <w:pStyle w:val="FootnoteText"/>
        <w:rPr>
          <w:rFonts w:ascii="Times New Roman" w:hAnsi="Times New Roman" w:cs="Times New Roman"/>
        </w:rPr>
      </w:pPr>
      <w:r w:rsidRPr="00601AB9">
        <w:rPr>
          <w:rStyle w:val="FootnoteReference"/>
          <w:rFonts w:ascii="Times New Roman" w:hAnsi="Times New Roman" w:cs="Times New Roman"/>
        </w:rPr>
        <w:footnoteRef/>
      </w:r>
      <w:r w:rsidRPr="00601AB9">
        <w:rPr>
          <w:rFonts w:ascii="Times New Roman" w:hAnsi="Times New Roman" w:cs="Times New Roman"/>
        </w:rPr>
        <w:t xml:space="preserve"> For example, while the mean firm average net profit from 2003 to 2017 is 8 billion RMB, it ranges from -236 million RMB to 107 billion RMB, signaling significant variation in profitability across firms in the sample.</w:t>
      </w:r>
    </w:p>
  </w:footnote>
  <w:footnote w:id="74">
    <w:p w14:paraId="61D43733" w14:textId="77777777" w:rsidR="00315077" w:rsidRPr="00601AB9" w:rsidRDefault="00315077" w:rsidP="00315077">
      <w:pPr>
        <w:pStyle w:val="FootnoteText"/>
        <w:rPr>
          <w:rFonts w:ascii="Times New Roman" w:hAnsi="Times New Roman" w:cs="Times New Roman"/>
        </w:rPr>
      </w:pPr>
      <w:r w:rsidRPr="00601AB9">
        <w:rPr>
          <w:rStyle w:val="FootnoteReference"/>
          <w:rFonts w:ascii="Times New Roman" w:hAnsi="Times New Roman" w:cs="Times New Roman"/>
        </w:rPr>
        <w:footnoteRef/>
      </w:r>
      <w:r w:rsidRPr="00601AB9">
        <w:rPr>
          <w:rFonts w:ascii="Times New Roman" w:hAnsi="Times New Roman" w:cs="Times New Roman"/>
        </w:rPr>
        <w:t xml:space="preserve"> </w:t>
      </w:r>
      <w:proofErr w:type="spellStart"/>
      <w:r w:rsidRPr="00601AB9">
        <w:rPr>
          <w:rFonts w:ascii="Times New Roman" w:eastAsia="SimSun" w:hAnsi="Times New Roman" w:cs="Times New Roman"/>
        </w:rPr>
        <w:t>Brødsgaard</w:t>
      </w:r>
      <w:proofErr w:type="spellEnd"/>
      <w:r w:rsidRPr="00601AB9">
        <w:rPr>
          <w:rFonts w:ascii="Times New Roman" w:eastAsia="SimSun" w:hAnsi="Times New Roman" w:cs="Times New Roman"/>
        </w:rPr>
        <w:t xml:space="preserve"> et al. (2017); Huang (1999); Li and Zhou (2005).</w:t>
      </w:r>
    </w:p>
  </w:footnote>
  <w:footnote w:id="75">
    <w:p w14:paraId="255683EF" w14:textId="77777777" w:rsidR="00315077" w:rsidRPr="00601AB9" w:rsidRDefault="00315077" w:rsidP="00315077">
      <w:pPr>
        <w:pStyle w:val="FootnoteText"/>
        <w:snapToGrid w:val="0"/>
        <w:rPr>
          <w:rFonts w:ascii="Times New Roman" w:eastAsia="SimSun" w:hAnsi="Times New Roman" w:cs="Times New Roman"/>
        </w:rPr>
      </w:pPr>
      <w:r w:rsidRPr="00601AB9">
        <w:rPr>
          <w:rStyle w:val="FootnoteReference"/>
          <w:rFonts w:ascii="Times New Roman" w:eastAsia="SimSun" w:hAnsi="Times New Roman" w:cs="Times New Roman"/>
        </w:rPr>
        <w:footnoteRef/>
      </w:r>
      <w:r w:rsidRPr="00601AB9">
        <w:rPr>
          <w:rFonts w:ascii="Times New Roman" w:eastAsia="SimSun" w:hAnsi="Times New Roman" w:cs="Times New Roman"/>
        </w:rPr>
        <w:t xml:space="preserve"> See for example Bo (2002); Choi (2012); Landry (2008). Another possible modeling strategy is a linear probability model. We choose not to implement this for two reasons. First, we do not wish to impose a strict ordering on our outcomes, as discussed above. Second, the sample size is relatively limited and while linear probability models and logistic models do converge asymptotically, we do not wish to incur additional bias in our smaller sample.</w:t>
      </w:r>
    </w:p>
  </w:footnote>
  <w:footnote w:id="76">
    <w:p w14:paraId="03102A97" w14:textId="77777777" w:rsidR="00315077" w:rsidRPr="00601AB9" w:rsidRDefault="00315077" w:rsidP="00315077">
      <w:pPr>
        <w:pStyle w:val="FootnoteText"/>
        <w:rPr>
          <w:rFonts w:ascii="Times New Roman" w:hAnsi="Times New Roman" w:cs="Times New Roman"/>
        </w:rPr>
      </w:pPr>
      <w:r w:rsidRPr="00601AB9">
        <w:rPr>
          <w:rStyle w:val="FootnoteReference"/>
          <w:rFonts w:ascii="Times New Roman" w:hAnsi="Times New Roman" w:cs="Times New Roman"/>
        </w:rPr>
        <w:footnoteRef/>
      </w:r>
      <w:r w:rsidRPr="00601AB9">
        <w:rPr>
          <w:rFonts w:ascii="Times New Roman" w:hAnsi="Times New Roman" w:cs="Times New Roman"/>
        </w:rPr>
        <w:t xml:space="preserve"> </w:t>
      </w:r>
      <w:r w:rsidRPr="00601AB9">
        <w:rPr>
          <w:rFonts w:ascii="Times New Roman" w:hAnsi="Times New Roman" w:cs="Times New Roman"/>
          <w:color w:val="000000"/>
        </w:rPr>
        <w:t>Allison (1982).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10FF"/>
    <w:multiLevelType w:val="hybridMultilevel"/>
    <w:tmpl w:val="77A2EB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6C31FD"/>
    <w:multiLevelType w:val="hybridMultilevel"/>
    <w:tmpl w:val="FF6A3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212C7D"/>
    <w:multiLevelType w:val="multilevel"/>
    <w:tmpl w:val="ED9636F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FC3E44"/>
    <w:multiLevelType w:val="hybridMultilevel"/>
    <w:tmpl w:val="6AD27670"/>
    <w:lvl w:ilvl="0" w:tplc="EA6A9DAC">
      <w:start w:val="1"/>
      <w:numFmt w:val="decimal"/>
      <w:lvlText w:val="%1)"/>
      <w:lvlJc w:val="left"/>
      <w:pPr>
        <w:ind w:left="720" w:hanging="360"/>
      </w:pPr>
      <w:rPr>
        <w:rFonts w:ascii="Arial" w:hAnsi="Arial" w:cs="Arial" w:hint="default"/>
        <w:color w:val="263238"/>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10501"/>
    <w:multiLevelType w:val="hybridMultilevel"/>
    <w:tmpl w:val="3FCCC292"/>
    <w:lvl w:ilvl="0" w:tplc="F20C3504">
      <w:start w:val="1"/>
      <w:numFmt w:val="lowerRoman"/>
      <w:lvlText w:val="%1."/>
      <w:lvlJc w:val="left"/>
      <w:pPr>
        <w:ind w:left="1440" w:hanging="720"/>
      </w:pPr>
      <w:rPr>
        <w:rFonts w:hint="default"/>
      </w:rPr>
    </w:lvl>
    <w:lvl w:ilvl="1" w:tplc="04090019">
      <w:start w:val="1"/>
      <w:numFmt w:val="lowerLetter"/>
      <w:lvlText w:val="%2)"/>
      <w:lvlJc w:val="left"/>
      <w:pPr>
        <w:ind w:left="1680" w:hanging="480"/>
      </w:pPr>
    </w:lvl>
    <w:lvl w:ilvl="2" w:tplc="CD7CB978">
      <w:numFmt w:val="bullet"/>
      <w:lvlText w:val=""/>
      <w:lvlJc w:val="left"/>
      <w:pPr>
        <w:ind w:left="2040" w:hanging="360"/>
      </w:pPr>
      <w:rPr>
        <w:rFonts w:ascii="Wingdings" w:eastAsiaTheme="minorEastAsia" w:hAnsi="Wingdings" w:cs="Times New Roman" w:hint="default"/>
      </w:r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A1C3C55"/>
    <w:multiLevelType w:val="multilevel"/>
    <w:tmpl w:val="774861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9676F0E"/>
    <w:multiLevelType w:val="hybridMultilevel"/>
    <w:tmpl w:val="0BCE28EC"/>
    <w:lvl w:ilvl="0" w:tplc="277E8D38">
      <w:start w:val="1"/>
      <w:numFmt w:val="upperRoman"/>
      <w:lvlText w:val="%1."/>
      <w:lvlJc w:val="left"/>
      <w:pPr>
        <w:ind w:left="720" w:hanging="720"/>
      </w:pPr>
      <w:rPr>
        <w:rFonts w:hint="default"/>
      </w:r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8CE5788"/>
    <w:multiLevelType w:val="hybridMultilevel"/>
    <w:tmpl w:val="97E0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7"/>
  </w:num>
  <w:num w:numId="6">
    <w:abstractNumId w:val="1"/>
  </w:num>
  <w:num w:numId="7">
    <w:abstractNumId w:val="2"/>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138"/>
    <w:rsid w:val="000023A7"/>
    <w:rsid w:val="000035B7"/>
    <w:rsid w:val="00004B1C"/>
    <w:rsid w:val="0000531C"/>
    <w:rsid w:val="0000575A"/>
    <w:rsid w:val="00006FF9"/>
    <w:rsid w:val="00011196"/>
    <w:rsid w:val="0001220A"/>
    <w:rsid w:val="00013F9D"/>
    <w:rsid w:val="000165AC"/>
    <w:rsid w:val="00016911"/>
    <w:rsid w:val="00022540"/>
    <w:rsid w:val="00024270"/>
    <w:rsid w:val="00026A37"/>
    <w:rsid w:val="000328F7"/>
    <w:rsid w:val="00034426"/>
    <w:rsid w:val="00035064"/>
    <w:rsid w:val="0003627F"/>
    <w:rsid w:val="00041137"/>
    <w:rsid w:val="00043A6A"/>
    <w:rsid w:val="00044B62"/>
    <w:rsid w:val="00045B6D"/>
    <w:rsid w:val="00046AB9"/>
    <w:rsid w:val="00047859"/>
    <w:rsid w:val="00047E51"/>
    <w:rsid w:val="000506F0"/>
    <w:rsid w:val="00050E79"/>
    <w:rsid w:val="0005300E"/>
    <w:rsid w:val="000542F7"/>
    <w:rsid w:val="00055347"/>
    <w:rsid w:val="0005588D"/>
    <w:rsid w:val="000570D2"/>
    <w:rsid w:val="0005721D"/>
    <w:rsid w:val="0005765D"/>
    <w:rsid w:val="00060B78"/>
    <w:rsid w:val="000615D9"/>
    <w:rsid w:val="00062F27"/>
    <w:rsid w:val="000678A0"/>
    <w:rsid w:val="00071AFD"/>
    <w:rsid w:val="000733F3"/>
    <w:rsid w:val="0007402E"/>
    <w:rsid w:val="00080AF2"/>
    <w:rsid w:val="000811A1"/>
    <w:rsid w:val="000815A7"/>
    <w:rsid w:val="00081E72"/>
    <w:rsid w:val="000840FA"/>
    <w:rsid w:val="00085910"/>
    <w:rsid w:val="00085AC6"/>
    <w:rsid w:val="00085B3F"/>
    <w:rsid w:val="00086685"/>
    <w:rsid w:val="0009153C"/>
    <w:rsid w:val="00091B11"/>
    <w:rsid w:val="00092274"/>
    <w:rsid w:val="00093F7D"/>
    <w:rsid w:val="00094893"/>
    <w:rsid w:val="00096D2F"/>
    <w:rsid w:val="0009780A"/>
    <w:rsid w:val="000A07BE"/>
    <w:rsid w:val="000A10DC"/>
    <w:rsid w:val="000A1145"/>
    <w:rsid w:val="000A3FC3"/>
    <w:rsid w:val="000A52F2"/>
    <w:rsid w:val="000A7AA2"/>
    <w:rsid w:val="000B20A6"/>
    <w:rsid w:val="000B4D9B"/>
    <w:rsid w:val="000B70C0"/>
    <w:rsid w:val="000C0205"/>
    <w:rsid w:val="000C092E"/>
    <w:rsid w:val="000C6CEA"/>
    <w:rsid w:val="000C6D58"/>
    <w:rsid w:val="000D10D1"/>
    <w:rsid w:val="000D4C72"/>
    <w:rsid w:val="000D59DE"/>
    <w:rsid w:val="000D779E"/>
    <w:rsid w:val="000E2301"/>
    <w:rsid w:val="000E2861"/>
    <w:rsid w:val="000E3920"/>
    <w:rsid w:val="000E40D3"/>
    <w:rsid w:val="000F291D"/>
    <w:rsid w:val="000F43F2"/>
    <w:rsid w:val="000F4B62"/>
    <w:rsid w:val="000F54B5"/>
    <w:rsid w:val="000F6D8B"/>
    <w:rsid w:val="001016C0"/>
    <w:rsid w:val="00103C0B"/>
    <w:rsid w:val="001048BC"/>
    <w:rsid w:val="00105EF2"/>
    <w:rsid w:val="00106231"/>
    <w:rsid w:val="0010655E"/>
    <w:rsid w:val="00106EF8"/>
    <w:rsid w:val="00110B5B"/>
    <w:rsid w:val="00112627"/>
    <w:rsid w:val="00114C31"/>
    <w:rsid w:val="00115F88"/>
    <w:rsid w:val="00116BC7"/>
    <w:rsid w:val="00120633"/>
    <w:rsid w:val="00124F14"/>
    <w:rsid w:val="00127B9C"/>
    <w:rsid w:val="00127C2E"/>
    <w:rsid w:val="00130FA9"/>
    <w:rsid w:val="00134AB1"/>
    <w:rsid w:val="001358DB"/>
    <w:rsid w:val="00135F9C"/>
    <w:rsid w:val="0013651E"/>
    <w:rsid w:val="00137418"/>
    <w:rsid w:val="001376F4"/>
    <w:rsid w:val="00144338"/>
    <w:rsid w:val="00146FCD"/>
    <w:rsid w:val="001503F1"/>
    <w:rsid w:val="0015082E"/>
    <w:rsid w:val="00151700"/>
    <w:rsid w:val="00152B23"/>
    <w:rsid w:val="001542BE"/>
    <w:rsid w:val="0016009A"/>
    <w:rsid w:val="001618B2"/>
    <w:rsid w:val="0016194F"/>
    <w:rsid w:val="00162100"/>
    <w:rsid w:val="00164AA1"/>
    <w:rsid w:val="00166B64"/>
    <w:rsid w:val="00170015"/>
    <w:rsid w:val="00174F81"/>
    <w:rsid w:val="001751AC"/>
    <w:rsid w:val="0017640A"/>
    <w:rsid w:val="0017753D"/>
    <w:rsid w:val="00181EF9"/>
    <w:rsid w:val="00182559"/>
    <w:rsid w:val="001936BB"/>
    <w:rsid w:val="00196A39"/>
    <w:rsid w:val="00197456"/>
    <w:rsid w:val="001A0F24"/>
    <w:rsid w:val="001A1F45"/>
    <w:rsid w:val="001A220F"/>
    <w:rsid w:val="001A56B6"/>
    <w:rsid w:val="001A689F"/>
    <w:rsid w:val="001B03D1"/>
    <w:rsid w:val="001B2813"/>
    <w:rsid w:val="001B295A"/>
    <w:rsid w:val="001B37A3"/>
    <w:rsid w:val="001B59EE"/>
    <w:rsid w:val="001B5C33"/>
    <w:rsid w:val="001B74DE"/>
    <w:rsid w:val="001C2643"/>
    <w:rsid w:val="001C3D0B"/>
    <w:rsid w:val="001C4218"/>
    <w:rsid w:val="001C423D"/>
    <w:rsid w:val="001C57D6"/>
    <w:rsid w:val="001C7917"/>
    <w:rsid w:val="001D1D00"/>
    <w:rsid w:val="001D4D4C"/>
    <w:rsid w:val="001D5656"/>
    <w:rsid w:val="001D605D"/>
    <w:rsid w:val="001D6F5C"/>
    <w:rsid w:val="001E549C"/>
    <w:rsid w:val="001E5CAE"/>
    <w:rsid w:val="001E76EC"/>
    <w:rsid w:val="001E7F5C"/>
    <w:rsid w:val="001F3F95"/>
    <w:rsid w:val="001F543A"/>
    <w:rsid w:val="001F69F3"/>
    <w:rsid w:val="002017A0"/>
    <w:rsid w:val="00201A4C"/>
    <w:rsid w:val="002029F2"/>
    <w:rsid w:val="00204E56"/>
    <w:rsid w:val="002050BB"/>
    <w:rsid w:val="00205895"/>
    <w:rsid w:val="00210683"/>
    <w:rsid w:val="00211DAB"/>
    <w:rsid w:val="002170A4"/>
    <w:rsid w:val="00221B20"/>
    <w:rsid w:val="00222976"/>
    <w:rsid w:val="00222EF8"/>
    <w:rsid w:val="002237D5"/>
    <w:rsid w:val="00224112"/>
    <w:rsid w:val="00224E69"/>
    <w:rsid w:val="00225E54"/>
    <w:rsid w:val="002270F0"/>
    <w:rsid w:val="0022730C"/>
    <w:rsid w:val="00230672"/>
    <w:rsid w:val="00230C5D"/>
    <w:rsid w:val="00230FB6"/>
    <w:rsid w:val="002311D6"/>
    <w:rsid w:val="002336EF"/>
    <w:rsid w:val="00235E39"/>
    <w:rsid w:val="00236267"/>
    <w:rsid w:val="002372F7"/>
    <w:rsid w:val="00240E51"/>
    <w:rsid w:val="00241353"/>
    <w:rsid w:val="00242B30"/>
    <w:rsid w:val="00242B74"/>
    <w:rsid w:val="002436BB"/>
    <w:rsid w:val="00244CDD"/>
    <w:rsid w:val="00244E0E"/>
    <w:rsid w:val="00247994"/>
    <w:rsid w:val="00250255"/>
    <w:rsid w:val="00252178"/>
    <w:rsid w:val="00252460"/>
    <w:rsid w:val="0025354B"/>
    <w:rsid w:val="002554AD"/>
    <w:rsid w:val="00257354"/>
    <w:rsid w:val="0026086B"/>
    <w:rsid w:val="00261903"/>
    <w:rsid w:val="0026232C"/>
    <w:rsid w:val="002628E5"/>
    <w:rsid w:val="0026316F"/>
    <w:rsid w:val="00263696"/>
    <w:rsid w:val="00270A01"/>
    <w:rsid w:val="002722F5"/>
    <w:rsid w:val="002737F6"/>
    <w:rsid w:val="0027397F"/>
    <w:rsid w:val="00275214"/>
    <w:rsid w:val="002876B2"/>
    <w:rsid w:val="002906B0"/>
    <w:rsid w:val="00294880"/>
    <w:rsid w:val="0029540A"/>
    <w:rsid w:val="00295DBE"/>
    <w:rsid w:val="002A0D5B"/>
    <w:rsid w:val="002A1CB6"/>
    <w:rsid w:val="002A254F"/>
    <w:rsid w:val="002A2924"/>
    <w:rsid w:val="002A4646"/>
    <w:rsid w:val="002A5EE2"/>
    <w:rsid w:val="002A658A"/>
    <w:rsid w:val="002A67C1"/>
    <w:rsid w:val="002B0EFC"/>
    <w:rsid w:val="002B0FD4"/>
    <w:rsid w:val="002B19A6"/>
    <w:rsid w:val="002B316C"/>
    <w:rsid w:val="002B3D50"/>
    <w:rsid w:val="002B7118"/>
    <w:rsid w:val="002C082F"/>
    <w:rsid w:val="002C235F"/>
    <w:rsid w:val="002C26BC"/>
    <w:rsid w:val="002C3CED"/>
    <w:rsid w:val="002C4DB4"/>
    <w:rsid w:val="002C6E02"/>
    <w:rsid w:val="002C74A7"/>
    <w:rsid w:val="002D3754"/>
    <w:rsid w:val="002D3DE1"/>
    <w:rsid w:val="002D4EBD"/>
    <w:rsid w:val="002D4F6E"/>
    <w:rsid w:val="002D624C"/>
    <w:rsid w:val="002D6F9C"/>
    <w:rsid w:val="002E1712"/>
    <w:rsid w:val="002E2259"/>
    <w:rsid w:val="002E38E7"/>
    <w:rsid w:val="002E64B0"/>
    <w:rsid w:val="002E752C"/>
    <w:rsid w:val="002F6211"/>
    <w:rsid w:val="002F6E41"/>
    <w:rsid w:val="002F7726"/>
    <w:rsid w:val="003008C5"/>
    <w:rsid w:val="00300BB6"/>
    <w:rsid w:val="00301F6B"/>
    <w:rsid w:val="003022C3"/>
    <w:rsid w:val="003036F0"/>
    <w:rsid w:val="003111CE"/>
    <w:rsid w:val="00312657"/>
    <w:rsid w:val="00315077"/>
    <w:rsid w:val="003155A8"/>
    <w:rsid w:val="003164AB"/>
    <w:rsid w:val="003200A2"/>
    <w:rsid w:val="003221C6"/>
    <w:rsid w:val="003227B8"/>
    <w:rsid w:val="00323645"/>
    <w:rsid w:val="00325252"/>
    <w:rsid w:val="00326827"/>
    <w:rsid w:val="003311CB"/>
    <w:rsid w:val="00331268"/>
    <w:rsid w:val="003334BE"/>
    <w:rsid w:val="003336BD"/>
    <w:rsid w:val="00333769"/>
    <w:rsid w:val="00333AEA"/>
    <w:rsid w:val="00335BDC"/>
    <w:rsid w:val="0033721D"/>
    <w:rsid w:val="00342957"/>
    <w:rsid w:val="00344067"/>
    <w:rsid w:val="003449AD"/>
    <w:rsid w:val="00345325"/>
    <w:rsid w:val="003455F1"/>
    <w:rsid w:val="00346CE6"/>
    <w:rsid w:val="003476E7"/>
    <w:rsid w:val="0035125A"/>
    <w:rsid w:val="00351CDE"/>
    <w:rsid w:val="00352267"/>
    <w:rsid w:val="0035287D"/>
    <w:rsid w:val="0035381A"/>
    <w:rsid w:val="00355E30"/>
    <w:rsid w:val="00357A58"/>
    <w:rsid w:val="003632FF"/>
    <w:rsid w:val="00365816"/>
    <w:rsid w:val="00370139"/>
    <w:rsid w:val="0037087D"/>
    <w:rsid w:val="00370FEA"/>
    <w:rsid w:val="00373E96"/>
    <w:rsid w:val="00374028"/>
    <w:rsid w:val="003743C6"/>
    <w:rsid w:val="003777AE"/>
    <w:rsid w:val="00380547"/>
    <w:rsid w:val="00380AEE"/>
    <w:rsid w:val="00382D96"/>
    <w:rsid w:val="003905CC"/>
    <w:rsid w:val="00391875"/>
    <w:rsid w:val="00391C24"/>
    <w:rsid w:val="003927CD"/>
    <w:rsid w:val="00394647"/>
    <w:rsid w:val="00395F7C"/>
    <w:rsid w:val="00397BE4"/>
    <w:rsid w:val="003A04BA"/>
    <w:rsid w:val="003A16A6"/>
    <w:rsid w:val="003A42C9"/>
    <w:rsid w:val="003A4AC0"/>
    <w:rsid w:val="003B07EC"/>
    <w:rsid w:val="003B433F"/>
    <w:rsid w:val="003B4D50"/>
    <w:rsid w:val="003B562E"/>
    <w:rsid w:val="003B7A31"/>
    <w:rsid w:val="003C0F9A"/>
    <w:rsid w:val="003C5E70"/>
    <w:rsid w:val="003C7750"/>
    <w:rsid w:val="003D0764"/>
    <w:rsid w:val="003D09FB"/>
    <w:rsid w:val="003D0B5B"/>
    <w:rsid w:val="003D57A6"/>
    <w:rsid w:val="003D635D"/>
    <w:rsid w:val="003D67B8"/>
    <w:rsid w:val="003D7AA8"/>
    <w:rsid w:val="003D7BCE"/>
    <w:rsid w:val="003D7D56"/>
    <w:rsid w:val="003E02A3"/>
    <w:rsid w:val="003E0897"/>
    <w:rsid w:val="003E2338"/>
    <w:rsid w:val="003E2B82"/>
    <w:rsid w:val="003E36E6"/>
    <w:rsid w:val="003E3FBE"/>
    <w:rsid w:val="003E4074"/>
    <w:rsid w:val="003E4D6D"/>
    <w:rsid w:val="003F0131"/>
    <w:rsid w:val="003F306D"/>
    <w:rsid w:val="004001CA"/>
    <w:rsid w:val="00400BFA"/>
    <w:rsid w:val="00402120"/>
    <w:rsid w:val="004038B7"/>
    <w:rsid w:val="00411FD8"/>
    <w:rsid w:val="00413637"/>
    <w:rsid w:val="00416BEC"/>
    <w:rsid w:val="00421CD8"/>
    <w:rsid w:val="00424A6D"/>
    <w:rsid w:val="00424E6A"/>
    <w:rsid w:val="0042529A"/>
    <w:rsid w:val="00427035"/>
    <w:rsid w:val="0043479D"/>
    <w:rsid w:val="00434CA1"/>
    <w:rsid w:val="00434EDC"/>
    <w:rsid w:val="0044127D"/>
    <w:rsid w:val="004501CE"/>
    <w:rsid w:val="004515F7"/>
    <w:rsid w:val="00451A4C"/>
    <w:rsid w:val="0045293B"/>
    <w:rsid w:val="00454A8E"/>
    <w:rsid w:val="004550B4"/>
    <w:rsid w:val="00455352"/>
    <w:rsid w:val="00455566"/>
    <w:rsid w:val="00460A99"/>
    <w:rsid w:val="004628D0"/>
    <w:rsid w:val="004638D4"/>
    <w:rsid w:val="00463D14"/>
    <w:rsid w:val="00464B15"/>
    <w:rsid w:val="00465CBB"/>
    <w:rsid w:val="00465D18"/>
    <w:rsid w:val="00466312"/>
    <w:rsid w:val="00466F76"/>
    <w:rsid w:val="004761B1"/>
    <w:rsid w:val="00482ABD"/>
    <w:rsid w:val="004850A8"/>
    <w:rsid w:val="00490E1F"/>
    <w:rsid w:val="00490E36"/>
    <w:rsid w:val="00491124"/>
    <w:rsid w:val="00491C05"/>
    <w:rsid w:val="00494FA4"/>
    <w:rsid w:val="004971A8"/>
    <w:rsid w:val="004A0525"/>
    <w:rsid w:val="004A072A"/>
    <w:rsid w:val="004A295D"/>
    <w:rsid w:val="004A7C48"/>
    <w:rsid w:val="004B01AD"/>
    <w:rsid w:val="004B0244"/>
    <w:rsid w:val="004B22F3"/>
    <w:rsid w:val="004C0736"/>
    <w:rsid w:val="004C0E9D"/>
    <w:rsid w:val="004C2DB2"/>
    <w:rsid w:val="004C36DC"/>
    <w:rsid w:val="004C5304"/>
    <w:rsid w:val="004C60E7"/>
    <w:rsid w:val="004D096E"/>
    <w:rsid w:val="004D10EB"/>
    <w:rsid w:val="004D5786"/>
    <w:rsid w:val="004D67AB"/>
    <w:rsid w:val="004D681D"/>
    <w:rsid w:val="004D6B39"/>
    <w:rsid w:val="004D7A0C"/>
    <w:rsid w:val="004E0486"/>
    <w:rsid w:val="004E095D"/>
    <w:rsid w:val="004E2031"/>
    <w:rsid w:val="004E203B"/>
    <w:rsid w:val="004E4CE8"/>
    <w:rsid w:val="004E72A3"/>
    <w:rsid w:val="004E7611"/>
    <w:rsid w:val="004F0A05"/>
    <w:rsid w:val="004F35A1"/>
    <w:rsid w:val="004F3A67"/>
    <w:rsid w:val="004F4FAE"/>
    <w:rsid w:val="004F5138"/>
    <w:rsid w:val="004F5EEE"/>
    <w:rsid w:val="005012F3"/>
    <w:rsid w:val="00501ADA"/>
    <w:rsid w:val="0050430D"/>
    <w:rsid w:val="00504762"/>
    <w:rsid w:val="00504A02"/>
    <w:rsid w:val="00504C00"/>
    <w:rsid w:val="005068C8"/>
    <w:rsid w:val="00510D95"/>
    <w:rsid w:val="0051288B"/>
    <w:rsid w:val="00512BFC"/>
    <w:rsid w:val="00515A4C"/>
    <w:rsid w:val="00516760"/>
    <w:rsid w:val="00522FEF"/>
    <w:rsid w:val="00525B5B"/>
    <w:rsid w:val="00525DF6"/>
    <w:rsid w:val="005309D8"/>
    <w:rsid w:val="005311F1"/>
    <w:rsid w:val="00533D1E"/>
    <w:rsid w:val="00535184"/>
    <w:rsid w:val="0053584B"/>
    <w:rsid w:val="00536660"/>
    <w:rsid w:val="00542299"/>
    <w:rsid w:val="00542338"/>
    <w:rsid w:val="00547118"/>
    <w:rsid w:val="00550027"/>
    <w:rsid w:val="00550351"/>
    <w:rsid w:val="00551BF3"/>
    <w:rsid w:val="00553846"/>
    <w:rsid w:val="00560FA4"/>
    <w:rsid w:val="00561214"/>
    <w:rsid w:val="0056329E"/>
    <w:rsid w:val="00564B05"/>
    <w:rsid w:val="00567790"/>
    <w:rsid w:val="005679A8"/>
    <w:rsid w:val="00567C31"/>
    <w:rsid w:val="00570950"/>
    <w:rsid w:val="00571376"/>
    <w:rsid w:val="00571FBB"/>
    <w:rsid w:val="005740E3"/>
    <w:rsid w:val="00574338"/>
    <w:rsid w:val="00577CA4"/>
    <w:rsid w:val="005809F6"/>
    <w:rsid w:val="00581719"/>
    <w:rsid w:val="00581A8D"/>
    <w:rsid w:val="00583C72"/>
    <w:rsid w:val="00583EC4"/>
    <w:rsid w:val="0059081D"/>
    <w:rsid w:val="00590B61"/>
    <w:rsid w:val="00592FC5"/>
    <w:rsid w:val="00593FD9"/>
    <w:rsid w:val="00595FFC"/>
    <w:rsid w:val="00596B20"/>
    <w:rsid w:val="00596E39"/>
    <w:rsid w:val="005A1078"/>
    <w:rsid w:val="005A79E7"/>
    <w:rsid w:val="005A7F69"/>
    <w:rsid w:val="005B3036"/>
    <w:rsid w:val="005C2A35"/>
    <w:rsid w:val="005C452A"/>
    <w:rsid w:val="005C67F1"/>
    <w:rsid w:val="005C6FB5"/>
    <w:rsid w:val="005D1CCF"/>
    <w:rsid w:val="005D264D"/>
    <w:rsid w:val="005D4F90"/>
    <w:rsid w:val="005D623E"/>
    <w:rsid w:val="005D6ADF"/>
    <w:rsid w:val="005D6CB7"/>
    <w:rsid w:val="005E0EC5"/>
    <w:rsid w:val="005E2453"/>
    <w:rsid w:val="005E6B66"/>
    <w:rsid w:val="005E7615"/>
    <w:rsid w:val="005E7CF0"/>
    <w:rsid w:val="005F5616"/>
    <w:rsid w:val="005F6F32"/>
    <w:rsid w:val="006011EA"/>
    <w:rsid w:val="00602E2C"/>
    <w:rsid w:val="00602E68"/>
    <w:rsid w:val="0060360A"/>
    <w:rsid w:val="00605BFE"/>
    <w:rsid w:val="00607448"/>
    <w:rsid w:val="00607E94"/>
    <w:rsid w:val="0061005A"/>
    <w:rsid w:val="006104E6"/>
    <w:rsid w:val="0061195A"/>
    <w:rsid w:val="00615B20"/>
    <w:rsid w:val="006168D0"/>
    <w:rsid w:val="006170C4"/>
    <w:rsid w:val="00621A2A"/>
    <w:rsid w:val="0062521A"/>
    <w:rsid w:val="0062601B"/>
    <w:rsid w:val="006260EF"/>
    <w:rsid w:val="00631273"/>
    <w:rsid w:val="006319C2"/>
    <w:rsid w:val="0063371A"/>
    <w:rsid w:val="00635C27"/>
    <w:rsid w:val="00636BF7"/>
    <w:rsid w:val="00637343"/>
    <w:rsid w:val="00641CC2"/>
    <w:rsid w:val="00643851"/>
    <w:rsid w:val="0064466B"/>
    <w:rsid w:val="00645C1A"/>
    <w:rsid w:val="00645F0B"/>
    <w:rsid w:val="006475EF"/>
    <w:rsid w:val="00650700"/>
    <w:rsid w:val="00650BC5"/>
    <w:rsid w:val="00660563"/>
    <w:rsid w:val="00660983"/>
    <w:rsid w:val="00663F0A"/>
    <w:rsid w:val="00664CC8"/>
    <w:rsid w:val="006650A1"/>
    <w:rsid w:val="00667C29"/>
    <w:rsid w:val="00670329"/>
    <w:rsid w:val="006719BB"/>
    <w:rsid w:val="00673115"/>
    <w:rsid w:val="00674117"/>
    <w:rsid w:val="00674793"/>
    <w:rsid w:val="00680131"/>
    <w:rsid w:val="006804F9"/>
    <w:rsid w:val="00683309"/>
    <w:rsid w:val="0068478D"/>
    <w:rsid w:val="00686930"/>
    <w:rsid w:val="00686CCB"/>
    <w:rsid w:val="006A121E"/>
    <w:rsid w:val="006A3902"/>
    <w:rsid w:val="006A549D"/>
    <w:rsid w:val="006A68A7"/>
    <w:rsid w:val="006A718F"/>
    <w:rsid w:val="006A774B"/>
    <w:rsid w:val="006A7807"/>
    <w:rsid w:val="006B05DE"/>
    <w:rsid w:val="006B2C7B"/>
    <w:rsid w:val="006B3D94"/>
    <w:rsid w:val="006B4DC6"/>
    <w:rsid w:val="006C6325"/>
    <w:rsid w:val="006C7005"/>
    <w:rsid w:val="006C70E5"/>
    <w:rsid w:val="006C7651"/>
    <w:rsid w:val="006D063F"/>
    <w:rsid w:val="006D535D"/>
    <w:rsid w:val="006D6997"/>
    <w:rsid w:val="006E048A"/>
    <w:rsid w:val="006E2205"/>
    <w:rsid w:val="006F0EB8"/>
    <w:rsid w:val="006F1F33"/>
    <w:rsid w:val="006F3F62"/>
    <w:rsid w:val="006F5CD7"/>
    <w:rsid w:val="006F66CF"/>
    <w:rsid w:val="0070176A"/>
    <w:rsid w:val="0070399F"/>
    <w:rsid w:val="00704907"/>
    <w:rsid w:val="00705CA5"/>
    <w:rsid w:val="0071423E"/>
    <w:rsid w:val="007168D3"/>
    <w:rsid w:val="00717316"/>
    <w:rsid w:val="007206DB"/>
    <w:rsid w:val="007210EB"/>
    <w:rsid w:val="0072200F"/>
    <w:rsid w:val="00722161"/>
    <w:rsid w:val="00722706"/>
    <w:rsid w:val="00726015"/>
    <w:rsid w:val="00726126"/>
    <w:rsid w:val="007309EE"/>
    <w:rsid w:val="00732CAB"/>
    <w:rsid w:val="0073373E"/>
    <w:rsid w:val="00733976"/>
    <w:rsid w:val="00733C70"/>
    <w:rsid w:val="007355F8"/>
    <w:rsid w:val="00737DAC"/>
    <w:rsid w:val="0074206D"/>
    <w:rsid w:val="0074444A"/>
    <w:rsid w:val="00747C0A"/>
    <w:rsid w:val="00752723"/>
    <w:rsid w:val="00754D18"/>
    <w:rsid w:val="0075698B"/>
    <w:rsid w:val="00757F2B"/>
    <w:rsid w:val="00763157"/>
    <w:rsid w:val="00763BE0"/>
    <w:rsid w:val="00767ECE"/>
    <w:rsid w:val="007756C2"/>
    <w:rsid w:val="00775A23"/>
    <w:rsid w:val="007760AB"/>
    <w:rsid w:val="007767A7"/>
    <w:rsid w:val="00781C5B"/>
    <w:rsid w:val="00785AB1"/>
    <w:rsid w:val="00785F08"/>
    <w:rsid w:val="007861EB"/>
    <w:rsid w:val="007871C4"/>
    <w:rsid w:val="00787B2B"/>
    <w:rsid w:val="00787E75"/>
    <w:rsid w:val="00790C62"/>
    <w:rsid w:val="00794FEA"/>
    <w:rsid w:val="007A0827"/>
    <w:rsid w:val="007A0F30"/>
    <w:rsid w:val="007A11C2"/>
    <w:rsid w:val="007A1B12"/>
    <w:rsid w:val="007A61DD"/>
    <w:rsid w:val="007A65A4"/>
    <w:rsid w:val="007B02F6"/>
    <w:rsid w:val="007B1F42"/>
    <w:rsid w:val="007B2E6F"/>
    <w:rsid w:val="007B4599"/>
    <w:rsid w:val="007B5E6E"/>
    <w:rsid w:val="007C0D00"/>
    <w:rsid w:val="007C4B4D"/>
    <w:rsid w:val="007C4F2F"/>
    <w:rsid w:val="007C5C7E"/>
    <w:rsid w:val="007C60B4"/>
    <w:rsid w:val="007C7FA6"/>
    <w:rsid w:val="007D0C81"/>
    <w:rsid w:val="007D2EF6"/>
    <w:rsid w:val="007D66E6"/>
    <w:rsid w:val="007D695C"/>
    <w:rsid w:val="007D7083"/>
    <w:rsid w:val="007E08AC"/>
    <w:rsid w:val="007E09C2"/>
    <w:rsid w:val="007E1EA4"/>
    <w:rsid w:val="007E20FF"/>
    <w:rsid w:val="007E21AF"/>
    <w:rsid w:val="007E2435"/>
    <w:rsid w:val="007E2854"/>
    <w:rsid w:val="007E35F1"/>
    <w:rsid w:val="007F4495"/>
    <w:rsid w:val="007F6998"/>
    <w:rsid w:val="007F7ED2"/>
    <w:rsid w:val="0080039E"/>
    <w:rsid w:val="008004FF"/>
    <w:rsid w:val="00807760"/>
    <w:rsid w:val="00807BE2"/>
    <w:rsid w:val="0082034B"/>
    <w:rsid w:val="008268AF"/>
    <w:rsid w:val="0082707A"/>
    <w:rsid w:val="0083251D"/>
    <w:rsid w:val="00832852"/>
    <w:rsid w:val="008334FD"/>
    <w:rsid w:val="00833EA4"/>
    <w:rsid w:val="0083598C"/>
    <w:rsid w:val="00842430"/>
    <w:rsid w:val="00842EEE"/>
    <w:rsid w:val="00843B5A"/>
    <w:rsid w:val="00847593"/>
    <w:rsid w:val="00847BCB"/>
    <w:rsid w:val="0085134B"/>
    <w:rsid w:val="00851BF8"/>
    <w:rsid w:val="008550FB"/>
    <w:rsid w:val="00855E2F"/>
    <w:rsid w:val="008575CB"/>
    <w:rsid w:val="008604CB"/>
    <w:rsid w:val="0086440F"/>
    <w:rsid w:val="0086600C"/>
    <w:rsid w:val="00870DFE"/>
    <w:rsid w:val="008727E9"/>
    <w:rsid w:val="008811CF"/>
    <w:rsid w:val="008844A8"/>
    <w:rsid w:val="008844A9"/>
    <w:rsid w:val="00887E79"/>
    <w:rsid w:val="008900E2"/>
    <w:rsid w:val="00890C1A"/>
    <w:rsid w:val="0089128F"/>
    <w:rsid w:val="00891B79"/>
    <w:rsid w:val="0089342A"/>
    <w:rsid w:val="008973F4"/>
    <w:rsid w:val="00897682"/>
    <w:rsid w:val="008976BD"/>
    <w:rsid w:val="008A1A48"/>
    <w:rsid w:val="008A23A0"/>
    <w:rsid w:val="008A2C0C"/>
    <w:rsid w:val="008A346D"/>
    <w:rsid w:val="008A5DD5"/>
    <w:rsid w:val="008B006E"/>
    <w:rsid w:val="008B0216"/>
    <w:rsid w:val="008B143A"/>
    <w:rsid w:val="008B3BDF"/>
    <w:rsid w:val="008B6E3A"/>
    <w:rsid w:val="008C296E"/>
    <w:rsid w:val="008C2E11"/>
    <w:rsid w:val="008C3290"/>
    <w:rsid w:val="008C4C9C"/>
    <w:rsid w:val="008C4D5F"/>
    <w:rsid w:val="008C654A"/>
    <w:rsid w:val="008C659D"/>
    <w:rsid w:val="008D4FCF"/>
    <w:rsid w:val="008D518C"/>
    <w:rsid w:val="008D52EF"/>
    <w:rsid w:val="008D68BA"/>
    <w:rsid w:val="008E0CD3"/>
    <w:rsid w:val="008E1BF1"/>
    <w:rsid w:val="008E2592"/>
    <w:rsid w:val="008E2AE3"/>
    <w:rsid w:val="008E7557"/>
    <w:rsid w:val="008F154D"/>
    <w:rsid w:val="008F1D06"/>
    <w:rsid w:val="008F331A"/>
    <w:rsid w:val="008F3A08"/>
    <w:rsid w:val="008F43D5"/>
    <w:rsid w:val="008F7C1B"/>
    <w:rsid w:val="009002F0"/>
    <w:rsid w:val="00903A52"/>
    <w:rsid w:val="00903D32"/>
    <w:rsid w:val="00903EB5"/>
    <w:rsid w:val="00903F21"/>
    <w:rsid w:val="00904BE5"/>
    <w:rsid w:val="009055F3"/>
    <w:rsid w:val="00910156"/>
    <w:rsid w:val="0091061A"/>
    <w:rsid w:val="0091123E"/>
    <w:rsid w:val="00911AB8"/>
    <w:rsid w:val="00914C9A"/>
    <w:rsid w:val="00925ACA"/>
    <w:rsid w:val="00927E7B"/>
    <w:rsid w:val="009322DC"/>
    <w:rsid w:val="00933AF9"/>
    <w:rsid w:val="00934105"/>
    <w:rsid w:val="00934B76"/>
    <w:rsid w:val="00936745"/>
    <w:rsid w:val="00943BB3"/>
    <w:rsid w:val="00943E16"/>
    <w:rsid w:val="00950660"/>
    <w:rsid w:val="0095392F"/>
    <w:rsid w:val="00954944"/>
    <w:rsid w:val="0096017B"/>
    <w:rsid w:val="00960A98"/>
    <w:rsid w:val="009625E8"/>
    <w:rsid w:val="00963719"/>
    <w:rsid w:val="009644E1"/>
    <w:rsid w:val="00966114"/>
    <w:rsid w:val="009663FE"/>
    <w:rsid w:val="00973F9F"/>
    <w:rsid w:val="00974EC6"/>
    <w:rsid w:val="0097711C"/>
    <w:rsid w:val="00982E57"/>
    <w:rsid w:val="0098416C"/>
    <w:rsid w:val="009853B2"/>
    <w:rsid w:val="00985C69"/>
    <w:rsid w:val="00985F12"/>
    <w:rsid w:val="00990F01"/>
    <w:rsid w:val="00991C7F"/>
    <w:rsid w:val="00992585"/>
    <w:rsid w:val="00993A1D"/>
    <w:rsid w:val="0099699F"/>
    <w:rsid w:val="009A0DB4"/>
    <w:rsid w:val="009A27B9"/>
    <w:rsid w:val="009A360A"/>
    <w:rsid w:val="009A73EB"/>
    <w:rsid w:val="009A7629"/>
    <w:rsid w:val="009B3D8A"/>
    <w:rsid w:val="009B4D3A"/>
    <w:rsid w:val="009B4F7C"/>
    <w:rsid w:val="009B655D"/>
    <w:rsid w:val="009C1260"/>
    <w:rsid w:val="009C162F"/>
    <w:rsid w:val="009C1FDB"/>
    <w:rsid w:val="009C30CD"/>
    <w:rsid w:val="009C3EE3"/>
    <w:rsid w:val="009D2452"/>
    <w:rsid w:val="009D5ACA"/>
    <w:rsid w:val="009D7117"/>
    <w:rsid w:val="009E08E9"/>
    <w:rsid w:val="009E6BE0"/>
    <w:rsid w:val="009E7130"/>
    <w:rsid w:val="009F17AD"/>
    <w:rsid w:val="009F4D9E"/>
    <w:rsid w:val="009F5AE0"/>
    <w:rsid w:val="009F78F8"/>
    <w:rsid w:val="00A01BD5"/>
    <w:rsid w:val="00A02D75"/>
    <w:rsid w:val="00A03D31"/>
    <w:rsid w:val="00A05C69"/>
    <w:rsid w:val="00A11530"/>
    <w:rsid w:val="00A12D22"/>
    <w:rsid w:val="00A14998"/>
    <w:rsid w:val="00A16872"/>
    <w:rsid w:val="00A23FE3"/>
    <w:rsid w:val="00A247E2"/>
    <w:rsid w:val="00A26470"/>
    <w:rsid w:val="00A264B9"/>
    <w:rsid w:val="00A27CFA"/>
    <w:rsid w:val="00A309EB"/>
    <w:rsid w:val="00A30FE4"/>
    <w:rsid w:val="00A31C6B"/>
    <w:rsid w:val="00A3702F"/>
    <w:rsid w:val="00A40E57"/>
    <w:rsid w:val="00A41E35"/>
    <w:rsid w:val="00A431F0"/>
    <w:rsid w:val="00A44B78"/>
    <w:rsid w:val="00A45089"/>
    <w:rsid w:val="00A45850"/>
    <w:rsid w:val="00A50462"/>
    <w:rsid w:val="00A50909"/>
    <w:rsid w:val="00A51374"/>
    <w:rsid w:val="00A51B87"/>
    <w:rsid w:val="00A60E07"/>
    <w:rsid w:val="00A60E29"/>
    <w:rsid w:val="00A62991"/>
    <w:rsid w:val="00A64ED7"/>
    <w:rsid w:val="00A67B66"/>
    <w:rsid w:val="00A71903"/>
    <w:rsid w:val="00A727F1"/>
    <w:rsid w:val="00A72BBD"/>
    <w:rsid w:val="00A74D0E"/>
    <w:rsid w:val="00A75552"/>
    <w:rsid w:val="00A75D62"/>
    <w:rsid w:val="00A762BB"/>
    <w:rsid w:val="00A769CD"/>
    <w:rsid w:val="00A77EB2"/>
    <w:rsid w:val="00A801A1"/>
    <w:rsid w:val="00A8445A"/>
    <w:rsid w:val="00A86FB3"/>
    <w:rsid w:val="00A92503"/>
    <w:rsid w:val="00A94F44"/>
    <w:rsid w:val="00A95A8C"/>
    <w:rsid w:val="00A97B27"/>
    <w:rsid w:val="00A97D9F"/>
    <w:rsid w:val="00AA1432"/>
    <w:rsid w:val="00AA213C"/>
    <w:rsid w:val="00AA5FBA"/>
    <w:rsid w:val="00AA7CF0"/>
    <w:rsid w:val="00AA7F0B"/>
    <w:rsid w:val="00AB0D4D"/>
    <w:rsid w:val="00AB0F27"/>
    <w:rsid w:val="00AB16A9"/>
    <w:rsid w:val="00AB3585"/>
    <w:rsid w:val="00AB50B7"/>
    <w:rsid w:val="00AB5B2F"/>
    <w:rsid w:val="00AB6305"/>
    <w:rsid w:val="00AC123C"/>
    <w:rsid w:val="00AC191F"/>
    <w:rsid w:val="00AC3888"/>
    <w:rsid w:val="00AD2F97"/>
    <w:rsid w:val="00AD306A"/>
    <w:rsid w:val="00AD3837"/>
    <w:rsid w:val="00AD5D9E"/>
    <w:rsid w:val="00AD663C"/>
    <w:rsid w:val="00AD67C7"/>
    <w:rsid w:val="00AE0498"/>
    <w:rsid w:val="00AE0BED"/>
    <w:rsid w:val="00AE405D"/>
    <w:rsid w:val="00AE70B0"/>
    <w:rsid w:val="00AF0D29"/>
    <w:rsid w:val="00AF1395"/>
    <w:rsid w:val="00AF3CD0"/>
    <w:rsid w:val="00AF58B2"/>
    <w:rsid w:val="00AF5BA2"/>
    <w:rsid w:val="00AF6EDF"/>
    <w:rsid w:val="00AF7DFB"/>
    <w:rsid w:val="00B00130"/>
    <w:rsid w:val="00B00643"/>
    <w:rsid w:val="00B01ABD"/>
    <w:rsid w:val="00B043C2"/>
    <w:rsid w:val="00B04653"/>
    <w:rsid w:val="00B05D66"/>
    <w:rsid w:val="00B06112"/>
    <w:rsid w:val="00B0690C"/>
    <w:rsid w:val="00B06AE9"/>
    <w:rsid w:val="00B1201A"/>
    <w:rsid w:val="00B14A28"/>
    <w:rsid w:val="00B17A89"/>
    <w:rsid w:val="00B2100B"/>
    <w:rsid w:val="00B2179F"/>
    <w:rsid w:val="00B228C7"/>
    <w:rsid w:val="00B23C9A"/>
    <w:rsid w:val="00B243EA"/>
    <w:rsid w:val="00B24D92"/>
    <w:rsid w:val="00B25C3C"/>
    <w:rsid w:val="00B31B87"/>
    <w:rsid w:val="00B3282E"/>
    <w:rsid w:val="00B32E53"/>
    <w:rsid w:val="00B33140"/>
    <w:rsid w:val="00B4199C"/>
    <w:rsid w:val="00B4336F"/>
    <w:rsid w:val="00B43412"/>
    <w:rsid w:val="00B461C3"/>
    <w:rsid w:val="00B47820"/>
    <w:rsid w:val="00B50492"/>
    <w:rsid w:val="00B53934"/>
    <w:rsid w:val="00B53B8F"/>
    <w:rsid w:val="00B57181"/>
    <w:rsid w:val="00B57251"/>
    <w:rsid w:val="00B614FD"/>
    <w:rsid w:val="00B62430"/>
    <w:rsid w:val="00B63B07"/>
    <w:rsid w:val="00B64987"/>
    <w:rsid w:val="00B64D0D"/>
    <w:rsid w:val="00B65741"/>
    <w:rsid w:val="00B65BB8"/>
    <w:rsid w:val="00B66604"/>
    <w:rsid w:val="00B70FA0"/>
    <w:rsid w:val="00B74009"/>
    <w:rsid w:val="00B75A9F"/>
    <w:rsid w:val="00B77FB7"/>
    <w:rsid w:val="00B803FD"/>
    <w:rsid w:val="00B80EE4"/>
    <w:rsid w:val="00B82C55"/>
    <w:rsid w:val="00B85737"/>
    <w:rsid w:val="00B8623E"/>
    <w:rsid w:val="00B904D4"/>
    <w:rsid w:val="00B9092C"/>
    <w:rsid w:val="00B91103"/>
    <w:rsid w:val="00B93535"/>
    <w:rsid w:val="00B93B12"/>
    <w:rsid w:val="00B941E8"/>
    <w:rsid w:val="00B9465B"/>
    <w:rsid w:val="00B94CD6"/>
    <w:rsid w:val="00B95B75"/>
    <w:rsid w:val="00B9636A"/>
    <w:rsid w:val="00B978F9"/>
    <w:rsid w:val="00B97DCC"/>
    <w:rsid w:val="00BA545D"/>
    <w:rsid w:val="00BA5A89"/>
    <w:rsid w:val="00BA6BB7"/>
    <w:rsid w:val="00BA7F6C"/>
    <w:rsid w:val="00BB151B"/>
    <w:rsid w:val="00BB4A26"/>
    <w:rsid w:val="00BB4B12"/>
    <w:rsid w:val="00BB4D08"/>
    <w:rsid w:val="00BB51E4"/>
    <w:rsid w:val="00BB6CB8"/>
    <w:rsid w:val="00BC0353"/>
    <w:rsid w:val="00BC0E8B"/>
    <w:rsid w:val="00BC1CF5"/>
    <w:rsid w:val="00BC4466"/>
    <w:rsid w:val="00BC7075"/>
    <w:rsid w:val="00BD02B4"/>
    <w:rsid w:val="00BD1068"/>
    <w:rsid w:val="00BD1FE4"/>
    <w:rsid w:val="00BD643D"/>
    <w:rsid w:val="00BE170E"/>
    <w:rsid w:val="00BE19A1"/>
    <w:rsid w:val="00BE2FFE"/>
    <w:rsid w:val="00BE50A1"/>
    <w:rsid w:val="00BE5183"/>
    <w:rsid w:val="00BE572B"/>
    <w:rsid w:val="00BE5E3A"/>
    <w:rsid w:val="00BE5E43"/>
    <w:rsid w:val="00BE670A"/>
    <w:rsid w:val="00BF03A5"/>
    <w:rsid w:val="00BF2BAF"/>
    <w:rsid w:val="00BF66BA"/>
    <w:rsid w:val="00BF76C1"/>
    <w:rsid w:val="00C00594"/>
    <w:rsid w:val="00C00B0B"/>
    <w:rsid w:val="00C016E6"/>
    <w:rsid w:val="00C02E21"/>
    <w:rsid w:val="00C0403D"/>
    <w:rsid w:val="00C04B6C"/>
    <w:rsid w:val="00C10710"/>
    <w:rsid w:val="00C11DF7"/>
    <w:rsid w:val="00C23B28"/>
    <w:rsid w:val="00C24D1F"/>
    <w:rsid w:val="00C24FDA"/>
    <w:rsid w:val="00C26214"/>
    <w:rsid w:val="00C31267"/>
    <w:rsid w:val="00C3676E"/>
    <w:rsid w:val="00C372A3"/>
    <w:rsid w:val="00C40BD8"/>
    <w:rsid w:val="00C40D00"/>
    <w:rsid w:val="00C40D83"/>
    <w:rsid w:val="00C466E4"/>
    <w:rsid w:val="00C501F2"/>
    <w:rsid w:val="00C5040E"/>
    <w:rsid w:val="00C50F60"/>
    <w:rsid w:val="00C5219C"/>
    <w:rsid w:val="00C56EE5"/>
    <w:rsid w:val="00C57ADD"/>
    <w:rsid w:val="00C6196E"/>
    <w:rsid w:val="00C63AF7"/>
    <w:rsid w:val="00C6497A"/>
    <w:rsid w:val="00C64B01"/>
    <w:rsid w:val="00C64EBA"/>
    <w:rsid w:val="00C657AB"/>
    <w:rsid w:val="00C67A35"/>
    <w:rsid w:val="00C70123"/>
    <w:rsid w:val="00C71A8F"/>
    <w:rsid w:val="00C71F28"/>
    <w:rsid w:val="00C73FC9"/>
    <w:rsid w:val="00C8064B"/>
    <w:rsid w:val="00C8157A"/>
    <w:rsid w:val="00C81912"/>
    <w:rsid w:val="00C81F87"/>
    <w:rsid w:val="00C8317D"/>
    <w:rsid w:val="00C84A7E"/>
    <w:rsid w:val="00C854C2"/>
    <w:rsid w:val="00C91502"/>
    <w:rsid w:val="00C915B1"/>
    <w:rsid w:val="00C918E3"/>
    <w:rsid w:val="00C92E86"/>
    <w:rsid w:val="00C92F12"/>
    <w:rsid w:val="00C94D0E"/>
    <w:rsid w:val="00C96CDB"/>
    <w:rsid w:val="00C9706C"/>
    <w:rsid w:val="00CA0453"/>
    <w:rsid w:val="00CA3E55"/>
    <w:rsid w:val="00CB156B"/>
    <w:rsid w:val="00CB1E7C"/>
    <w:rsid w:val="00CB2BEE"/>
    <w:rsid w:val="00CB51EF"/>
    <w:rsid w:val="00CB5301"/>
    <w:rsid w:val="00CB64E7"/>
    <w:rsid w:val="00CB7B14"/>
    <w:rsid w:val="00CB7D75"/>
    <w:rsid w:val="00CC097C"/>
    <w:rsid w:val="00CC1E48"/>
    <w:rsid w:val="00CC2DB5"/>
    <w:rsid w:val="00CC3931"/>
    <w:rsid w:val="00CC41D7"/>
    <w:rsid w:val="00CC42A4"/>
    <w:rsid w:val="00CC63CF"/>
    <w:rsid w:val="00CC71BF"/>
    <w:rsid w:val="00CC7BD7"/>
    <w:rsid w:val="00CD2C71"/>
    <w:rsid w:val="00CD6459"/>
    <w:rsid w:val="00CD6DC5"/>
    <w:rsid w:val="00CD6F94"/>
    <w:rsid w:val="00CE160F"/>
    <w:rsid w:val="00CE1E99"/>
    <w:rsid w:val="00CE28F7"/>
    <w:rsid w:val="00CE4489"/>
    <w:rsid w:val="00CE6180"/>
    <w:rsid w:val="00CE79E1"/>
    <w:rsid w:val="00CF3656"/>
    <w:rsid w:val="00CF5737"/>
    <w:rsid w:val="00CF776C"/>
    <w:rsid w:val="00CF77F2"/>
    <w:rsid w:val="00D00F10"/>
    <w:rsid w:val="00D021AB"/>
    <w:rsid w:val="00D0280B"/>
    <w:rsid w:val="00D047E1"/>
    <w:rsid w:val="00D04FBE"/>
    <w:rsid w:val="00D05CAA"/>
    <w:rsid w:val="00D067A0"/>
    <w:rsid w:val="00D071C1"/>
    <w:rsid w:val="00D10756"/>
    <w:rsid w:val="00D11B7B"/>
    <w:rsid w:val="00D13F34"/>
    <w:rsid w:val="00D16753"/>
    <w:rsid w:val="00D20422"/>
    <w:rsid w:val="00D21CF5"/>
    <w:rsid w:val="00D227B4"/>
    <w:rsid w:val="00D232DF"/>
    <w:rsid w:val="00D23605"/>
    <w:rsid w:val="00D26CA7"/>
    <w:rsid w:val="00D30431"/>
    <w:rsid w:val="00D31A31"/>
    <w:rsid w:val="00D3235B"/>
    <w:rsid w:val="00D33734"/>
    <w:rsid w:val="00D339AA"/>
    <w:rsid w:val="00D34214"/>
    <w:rsid w:val="00D34CB5"/>
    <w:rsid w:val="00D36C1D"/>
    <w:rsid w:val="00D37486"/>
    <w:rsid w:val="00D4179F"/>
    <w:rsid w:val="00D444CF"/>
    <w:rsid w:val="00D444EA"/>
    <w:rsid w:val="00D46598"/>
    <w:rsid w:val="00D51546"/>
    <w:rsid w:val="00D53FB1"/>
    <w:rsid w:val="00D55C30"/>
    <w:rsid w:val="00D564CE"/>
    <w:rsid w:val="00D579B5"/>
    <w:rsid w:val="00D656A6"/>
    <w:rsid w:val="00D65F11"/>
    <w:rsid w:val="00D71084"/>
    <w:rsid w:val="00D74318"/>
    <w:rsid w:val="00D7472A"/>
    <w:rsid w:val="00D7504B"/>
    <w:rsid w:val="00D776FB"/>
    <w:rsid w:val="00D82700"/>
    <w:rsid w:val="00D82C26"/>
    <w:rsid w:val="00D83552"/>
    <w:rsid w:val="00D855E7"/>
    <w:rsid w:val="00D859AE"/>
    <w:rsid w:val="00D85E88"/>
    <w:rsid w:val="00D87116"/>
    <w:rsid w:val="00D87AEC"/>
    <w:rsid w:val="00D9154B"/>
    <w:rsid w:val="00D916E0"/>
    <w:rsid w:val="00D919DD"/>
    <w:rsid w:val="00D93F86"/>
    <w:rsid w:val="00D9411D"/>
    <w:rsid w:val="00D94CA5"/>
    <w:rsid w:val="00D9511D"/>
    <w:rsid w:val="00D95C64"/>
    <w:rsid w:val="00DA048C"/>
    <w:rsid w:val="00DA1A46"/>
    <w:rsid w:val="00DA2F8C"/>
    <w:rsid w:val="00DA34F5"/>
    <w:rsid w:val="00DA41D1"/>
    <w:rsid w:val="00DA463B"/>
    <w:rsid w:val="00DA4D1E"/>
    <w:rsid w:val="00DA5694"/>
    <w:rsid w:val="00DA5999"/>
    <w:rsid w:val="00DA7F78"/>
    <w:rsid w:val="00DB013B"/>
    <w:rsid w:val="00DB1AC6"/>
    <w:rsid w:val="00DB2E72"/>
    <w:rsid w:val="00DB4667"/>
    <w:rsid w:val="00DC0BDA"/>
    <w:rsid w:val="00DC12F4"/>
    <w:rsid w:val="00DC2C3B"/>
    <w:rsid w:val="00DC40F2"/>
    <w:rsid w:val="00DC4160"/>
    <w:rsid w:val="00DC43E4"/>
    <w:rsid w:val="00DC47F9"/>
    <w:rsid w:val="00DC5BBB"/>
    <w:rsid w:val="00DD0313"/>
    <w:rsid w:val="00DD3A4D"/>
    <w:rsid w:val="00DD4250"/>
    <w:rsid w:val="00DD5516"/>
    <w:rsid w:val="00DD7959"/>
    <w:rsid w:val="00DE395A"/>
    <w:rsid w:val="00DE494D"/>
    <w:rsid w:val="00DE5805"/>
    <w:rsid w:val="00DE64AB"/>
    <w:rsid w:val="00DE6BF6"/>
    <w:rsid w:val="00DE77DF"/>
    <w:rsid w:val="00DF2F15"/>
    <w:rsid w:val="00DF3727"/>
    <w:rsid w:val="00DF4DDD"/>
    <w:rsid w:val="00DF679B"/>
    <w:rsid w:val="00DF7608"/>
    <w:rsid w:val="00E02540"/>
    <w:rsid w:val="00E026C4"/>
    <w:rsid w:val="00E043CD"/>
    <w:rsid w:val="00E04D6C"/>
    <w:rsid w:val="00E06FA0"/>
    <w:rsid w:val="00E07496"/>
    <w:rsid w:val="00E11F4B"/>
    <w:rsid w:val="00E14F27"/>
    <w:rsid w:val="00E17714"/>
    <w:rsid w:val="00E20E77"/>
    <w:rsid w:val="00E213BC"/>
    <w:rsid w:val="00E22BC1"/>
    <w:rsid w:val="00E22F61"/>
    <w:rsid w:val="00E23BC2"/>
    <w:rsid w:val="00E242E3"/>
    <w:rsid w:val="00E24A51"/>
    <w:rsid w:val="00E24FDD"/>
    <w:rsid w:val="00E27A09"/>
    <w:rsid w:val="00E30CDE"/>
    <w:rsid w:val="00E351DE"/>
    <w:rsid w:val="00E37F2E"/>
    <w:rsid w:val="00E426A1"/>
    <w:rsid w:val="00E44EB8"/>
    <w:rsid w:val="00E45BB8"/>
    <w:rsid w:val="00E46404"/>
    <w:rsid w:val="00E47265"/>
    <w:rsid w:val="00E5088C"/>
    <w:rsid w:val="00E50B9A"/>
    <w:rsid w:val="00E519B0"/>
    <w:rsid w:val="00E53EE1"/>
    <w:rsid w:val="00E550D7"/>
    <w:rsid w:val="00E56BE1"/>
    <w:rsid w:val="00E57735"/>
    <w:rsid w:val="00E57BBA"/>
    <w:rsid w:val="00E57EAF"/>
    <w:rsid w:val="00E615C0"/>
    <w:rsid w:val="00E64CF2"/>
    <w:rsid w:val="00E64F8F"/>
    <w:rsid w:val="00E650AB"/>
    <w:rsid w:val="00E66DA5"/>
    <w:rsid w:val="00E70820"/>
    <w:rsid w:val="00E72620"/>
    <w:rsid w:val="00E73670"/>
    <w:rsid w:val="00E73BA7"/>
    <w:rsid w:val="00E76B66"/>
    <w:rsid w:val="00E776ED"/>
    <w:rsid w:val="00E80007"/>
    <w:rsid w:val="00E815B5"/>
    <w:rsid w:val="00E823E1"/>
    <w:rsid w:val="00E87F57"/>
    <w:rsid w:val="00E90DC0"/>
    <w:rsid w:val="00E9313F"/>
    <w:rsid w:val="00E94E73"/>
    <w:rsid w:val="00E94F25"/>
    <w:rsid w:val="00EA0644"/>
    <w:rsid w:val="00EA3580"/>
    <w:rsid w:val="00EA4438"/>
    <w:rsid w:val="00EA4AE6"/>
    <w:rsid w:val="00EA52DD"/>
    <w:rsid w:val="00EA7438"/>
    <w:rsid w:val="00EB508B"/>
    <w:rsid w:val="00EB52B2"/>
    <w:rsid w:val="00EB64FE"/>
    <w:rsid w:val="00EB78E5"/>
    <w:rsid w:val="00EC3CC0"/>
    <w:rsid w:val="00EC5162"/>
    <w:rsid w:val="00EC5E72"/>
    <w:rsid w:val="00EC691A"/>
    <w:rsid w:val="00EC6D7E"/>
    <w:rsid w:val="00EC6EB7"/>
    <w:rsid w:val="00EC7BD8"/>
    <w:rsid w:val="00ED22F8"/>
    <w:rsid w:val="00ED38E0"/>
    <w:rsid w:val="00ED454D"/>
    <w:rsid w:val="00EE2019"/>
    <w:rsid w:val="00EE2217"/>
    <w:rsid w:val="00EE2301"/>
    <w:rsid w:val="00EE28F2"/>
    <w:rsid w:val="00EE517F"/>
    <w:rsid w:val="00EE5207"/>
    <w:rsid w:val="00EE77A3"/>
    <w:rsid w:val="00EF0B0F"/>
    <w:rsid w:val="00EF2202"/>
    <w:rsid w:val="00EF2649"/>
    <w:rsid w:val="00EF3A88"/>
    <w:rsid w:val="00EF3E32"/>
    <w:rsid w:val="00EF3E34"/>
    <w:rsid w:val="00EF5AFF"/>
    <w:rsid w:val="00EF6503"/>
    <w:rsid w:val="00EF6BAD"/>
    <w:rsid w:val="00EF7378"/>
    <w:rsid w:val="00F0029B"/>
    <w:rsid w:val="00F02B68"/>
    <w:rsid w:val="00F0448F"/>
    <w:rsid w:val="00F0481E"/>
    <w:rsid w:val="00F04DB2"/>
    <w:rsid w:val="00F05785"/>
    <w:rsid w:val="00F062B0"/>
    <w:rsid w:val="00F125AC"/>
    <w:rsid w:val="00F12C02"/>
    <w:rsid w:val="00F13892"/>
    <w:rsid w:val="00F13C03"/>
    <w:rsid w:val="00F1442E"/>
    <w:rsid w:val="00F14617"/>
    <w:rsid w:val="00F20896"/>
    <w:rsid w:val="00F26233"/>
    <w:rsid w:val="00F31384"/>
    <w:rsid w:val="00F32556"/>
    <w:rsid w:val="00F35140"/>
    <w:rsid w:val="00F36365"/>
    <w:rsid w:val="00F36535"/>
    <w:rsid w:val="00F41A64"/>
    <w:rsid w:val="00F41E57"/>
    <w:rsid w:val="00F4244C"/>
    <w:rsid w:val="00F556E9"/>
    <w:rsid w:val="00F5578A"/>
    <w:rsid w:val="00F57771"/>
    <w:rsid w:val="00F57EBF"/>
    <w:rsid w:val="00F6024D"/>
    <w:rsid w:val="00F6044D"/>
    <w:rsid w:val="00F61877"/>
    <w:rsid w:val="00F61A6B"/>
    <w:rsid w:val="00F626BC"/>
    <w:rsid w:val="00F62816"/>
    <w:rsid w:val="00F64A6D"/>
    <w:rsid w:val="00F64FD5"/>
    <w:rsid w:val="00F70AEF"/>
    <w:rsid w:val="00F71D66"/>
    <w:rsid w:val="00F7279C"/>
    <w:rsid w:val="00F7325A"/>
    <w:rsid w:val="00F73891"/>
    <w:rsid w:val="00F756CA"/>
    <w:rsid w:val="00F75F4C"/>
    <w:rsid w:val="00F76BD5"/>
    <w:rsid w:val="00F823DC"/>
    <w:rsid w:val="00F82551"/>
    <w:rsid w:val="00F825B7"/>
    <w:rsid w:val="00F84108"/>
    <w:rsid w:val="00F84197"/>
    <w:rsid w:val="00F871FC"/>
    <w:rsid w:val="00F87F82"/>
    <w:rsid w:val="00F91D26"/>
    <w:rsid w:val="00F92CCE"/>
    <w:rsid w:val="00F9513F"/>
    <w:rsid w:val="00F952FE"/>
    <w:rsid w:val="00F962D6"/>
    <w:rsid w:val="00F97383"/>
    <w:rsid w:val="00FA067F"/>
    <w:rsid w:val="00FA1379"/>
    <w:rsid w:val="00FA1A1D"/>
    <w:rsid w:val="00FA2012"/>
    <w:rsid w:val="00FA2CEF"/>
    <w:rsid w:val="00FA3ECF"/>
    <w:rsid w:val="00FA4882"/>
    <w:rsid w:val="00FA4F5A"/>
    <w:rsid w:val="00FA5936"/>
    <w:rsid w:val="00FA5CE4"/>
    <w:rsid w:val="00FB16B3"/>
    <w:rsid w:val="00FB5B0E"/>
    <w:rsid w:val="00FB6F68"/>
    <w:rsid w:val="00FB7185"/>
    <w:rsid w:val="00FB733B"/>
    <w:rsid w:val="00FC1E28"/>
    <w:rsid w:val="00FC1EE0"/>
    <w:rsid w:val="00FC5A83"/>
    <w:rsid w:val="00FD0504"/>
    <w:rsid w:val="00FD05F2"/>
    <w:rsid w:val="00FD19F5"/>
    <w:rsid w:val="00FD1ECF"/>
    <w:rsid w:val="00FD314E"/>
    <w:rsid w:val="00FD5025"/>
    <w:rsid w:val="00FD5BB0"/>
    <w:rsid w:val="00FD6125"/>
    <w:rsid w:val="00FE0226"/>
    <w:rsid w:val="00FE02A8"/>
    <w:rsid w:val="00FE17CD"/>
    <w:rsid w:val="00FE18B9"/>
    <w:rsid w:val="00FE28F9"/>
    <w:rsid w:val="00FE31CA"/>
    <w:rsid w:val="00FE4081"/>
    <w:rsid w:val="00FE584C"/>
    <w:rsid w:val="00FE6BB3"/>
    <w:rsid w:val="00FE7887"/>
    <w:rsid w:val="00FF3ED7"/>
    <w:rsid w:val="00FF4D5D"/>
    <w:rsid w:val="00FF659D"/>
    <w:rsid w:val="00FF6E99"/>
    <w:rsid w:val="00FF7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73E30D"/>
  <w15:docId w15:val="{5CA717B8-6374-834B-8B40-06605240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205"/>
    <w:rPr>
      <w:rFonts w:ascii="Times New Roman" w:eastAsia="Times New Roman" w:hAnsi="Times New Roman" w:cs="Times New Roman"/>
    </w:rPr>
  </w:style>
  <w:style w:type="paragraph" w:styleId="Heading1">
    <w:name w:val="heading 1"/>
    <w:basedOn w:val="Normal"/>
    <w:next w:val="Normal"/>
    <w:link w:val="Heading1Char"/>
    <w:uiPriority w:val="9"/>
    <w:qFormat/>
    <w:rsid w:val="00C84A7E"/>
    <w:pPr>
      <w:keepNext/>
      <w:keepLines/>
      <w:spacing w:before="400" w:after="40"/>
      <w:outlineLvl w:val="0"/>
    </w:pPr>
    <w:rPr>
      <w:rFonts w:asciiTheme="majorHAnsi" w:eastAsiaTheme="majorEastAsia" w:hAnsiTheme="majorHAnsi" w:cstheme="majorBidi"/>
      <w:color w:val="1F3864" w:themeColor="accent1" w:themeShade="80"/>
      <w:sz w:val="36"/>
      <w:szCs w:val="36"/>
      <w:lang w:eastAsia="en-US"/>
    </w:rPr>
  </w:style>
  <w:style w:type="paragraph" w:styleId="Heading2">
    <w:name w:val="heading 2"/>
    <w:basedOn w:val="Normal"/>
    <w:next w:val="Normal"/>
    <w:link w:val="Heading2Char"/>
    <w:uiPriority w:val="9"/>
    <w:semiHidden/>
    <w:unhideWhenUsed/>
    <w:qFormat/>
    <w:rsid w:val="00C84A7E"/>
    <w:pPr>
      <w:keepNext/>
      <w:keepLines/>
      <w:spacing w:before="40"/>
      <w:outlineLvl w:val="1"/>
    </w:pPr>
    <w:rPr>
      <w:rFonts w:asciiTheme="majorHAnsi" w:eastAsiaTheme="majorEastAsia" w:hAnsiTheme="majorHAnsi" w:cstheme="majorBidi"/>
      <w:color w:val="2F5496" w:themeColor="accent1" w:themeShade="BF"/>
      <w:sz w:val="32"/>
      <w:szCs w:val="32"/>
      <w:lang w:eastAsia="en-US"/>
    </w:rPr>
  </w:style>
  <w:style w:type="paragraph" w:styleId="Heading3">
    <w:name w:val="heading 3"/>
    <w:basedOn w:val="Normal"/>
    <w:next w:val="Normal"/>
    <w:link w:val="Heading3Char"/>
    <w:uiPriority w:val="9"/>
    <w:semiHidden/>
    <w:unhideWhenUsed/>
    <w:qFormat/>
    <w:rsid w:val="00C84A7E"/>
    <w:pPr>
      <w:keepNext/>
      <w:keepLines/>
      <w:spacing w:before="40"/>
      <w:outlineLvl w:val="2"/>
    </w:pPr>
    <w:rPr>
      <w:rFonts w:asciiTheme="majorHAnsi" w:eastAsiaTheme="majorEastAsia" w:hAnsiTheme="majorHAnsi" w:cstheme="majorBidi"/>
      <w:color w:val="2F5496" w:themeColor="accent1" w:themeShade="BF"/>
      <w:sz w:val="28"/>
      <w:szCs w:val="28"/>
      <w:lang w:eastAsia="en-US"/>
    </w:rPr>
  </w:style>
  <w:style w:type="paragraph" w:styleId="Heading4">
    <w:name w:val="heading 4"/>
    <w:basedOn w:val="Normal"/>
    <w:next w:val="Normal"/>
    <w:link w:val="Heading4Char"/>
    <w:uiPriority w:val="9"/>
    <w:semiHidden/>
    <w:unhideWhenUsed/>
    <w:qFormat/>
    <w:rsid w:val="00C84A7E"/>
    <w:pPr>
      <w:keepNext/>
      <w:keepLines/>
      <w:spacing w:before="40"/>
      <w:outlineLvl w:val="3"/>
    </w:pPr>
    <w:rPr>
      <w:rFonts w:asciiTheme="majorHAnsi" w:eastAsiaTheme="majorEastAsia" w:hAnsiTheme="majorHAnsi" w:cstheme="majorBidi"/>
      <w:color w:val="2F5496" w:themeColor="accent1" w:themeShade="BF"/>
      <w:lang w:eastAsia="en-US"/>
    </w:rPr>
  </w:style>
  <w:style w:type="paragraph" w:styleId="Heading5">
    <w:name w:val="heading 5"/>
    <w:basedOn w:val="Normal"/>
    <w:next w:val="Normal"/>
    <w:link w:val="Heading5Char"/>
    <w:uiPriority w:val="9"/>
    <w:semiHidden/>
    <w:unhideWhenUsed/>
    <w:qFormat/>
    <w:rsid w:val="00C84A7E"/>
    <w:pPr>
      <w:keepNext/>
      <w:keepLines/>
      <w:spacing w:before="40"/>
      <w:outlineLvl w:val="4"/>
    </w:pPr>
    <w:rPr>
      <w:rFonts w:asciiTheme="majorHAnsi" w:eastAsiaTheme="majorEastAsia" w:hAnsiTheme="majorHAnsi" w:cstheme="majorBidi"/>
      <w:caps/>
      <w:color w:val="2F5496" w:themeColor="accent1" w:themeShade="BF"/>
      <w:lang w:eastAsia="en-US"/>
    </w:rPr>
  </w:style>
  <w:style w:type="paragraph" w:styleId="Heading6">
    <w:name w:val="heading 6"/>
    <w:basedOn w:val="Normal"/>
    <w:next w:val="Normal"/>
    <w:link w:val="Heading6Char"/>
    <w:uiPriority w:val="9"/>
    <w:semiHidden/>
    <w:unhideWhenUsed/>
    <w:qFormat/>
    <w:rsid w:val="00C84A7E"/>
    <w:pPr>
      <w:keepNext/>
      <w:keepLines/>
      <w:spacing w:before="40"/>
      <w:outlineLvl w:val="5"/>
    </w:pPr>
    <w:rPr>
      <w:rFonts w:asciiTheme="majorHAnsi" w:eastAsiaTheme="majorEastAsia" w:hAnsiTheme="majorHAnsi" w:cstheme="majorBidi"/>
      <w:i/>
      <w:iCs/>
      <w:caps/>
      <w:color w:val="1F3864" w:themeColor="accent1" w:themeShade="80"/>
      <w:lang w:eastAsia="en-US"/>
    </w:rPr>
  </w:style>
  <w:style w:type="paragraph" w:styleId="Heading7">
    <w:name w:val="heading 7"/>
    <w:basedOn w:val="Normal"/>
    <w:next w:val="Normal"/>
    <w:link w:val="Heading7Char"/>
    <w:uiPriority w:val="9"/>
    <w:semiHidden/>
    <w:unhideWhenUsed/>
    <w:qFormat/>
    <w:rsid w:val="00C84A7E"/>
    <w:pPr>
      <w:keepNext/>
      <w:keepLines/>
      <w:spacing w:before="40"/>
      <w:outlineLvl w:val="6"/>
    </w:pPr>
    <w:rPr>
      <w:rFonts w:asciiTheme="majorHAnsi" w:eastAsiaTheme="majorEastAsia" w:hAnsiTheme="majorHAnsi" w:cstheme="majorBidi"/>
      <w:b/>
      <w:bCs/>
      <w:color w:val="1F3864" w:themeColor="accent1" w:themeShade="80"/>
      <w:lang w:eastAsia="en-US"/>
    </w:rPr>
  </w:style>
  <w:style w:type="paragraph" w:styleId="Heading8">
    <w:name w:val="heading 8"/>
    <w:basedOn w:val="Normal"/>
    <w:next w:val="Normal"/>
    <w:link w:val="Heading8Char"/>
    <w:uiPriority w:val="9"/>
    <w:semiHidden/>
    <w:unhideWhenUsed/>
    <w:qFormat/>
    <w:rsid w:val="00C84A7E"/>
    <w:pPr>
      <w:keepNext/>
      <w:keepLines/>
      <w:spacing w:before="40"/>
      <w:outlineLvl w:val="7"/>
    </w:pPr>
    <w:rPr>
      <w:rFonts w:asciiTheme="majorHAnsi" w:eastAsiaTheme="majorEastAsia" w:hAnsiTheme="majorHAnsi" w:cstheme="majorBidi"/>
      <w:b/>
      <w:bCs/>
      <w:i/>
      <w:iCs/>
      <w:color w:val="1F3864" w:themeColor="accent1" w:themeShade="80"/>
      <w:lang w:eastAsia="en-US"/>
    </w:rPr>
  </w:style>
  <w:style w:type="paragraph" w:styleId="Heading9">
    <w:name w:val="heading 9"/>
    <w:basedOn w:val="Normal"/>
    <w:next w:val="Normal"/>
    <w:link w:val="Heading9Char"/>
    <w:uiPriority w:val="9"/>
    <w:semiHidden/>
    <w:unhideWhenUsed/>
    <w:qFormat/>
    <w:rsid w:val="00C84A7E"/>
    <w:pPr>
      <w:keepNext/>
      <w:keepLines/>
      <w:spacing w:before="40"/>
      <w:outlineLvl w:val="8"/>
    </w:pPr>
    <w:rPr>
      <w:rFonts w:asciiTheme="majorHAnsi" w:eastAsiaTheme="majorEastAsia" w:hAnsiTheme="majorHAnsi" w:cstheme="majorBidi"/>
      <w:i/>
      <w:iCs/>
      <w:color w:val="1F3864" w:themeColor="accent1" w:themeShade="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138"/>
    <w:pPr>
      <w:spacing w:after="160" w:line="259" w:lineRule="auto"/>
      <w:ind w:left="720"/>
      <w:contextualSpacing/>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2A67C1"/>
    <w:rPr>
      <w:rFonts w:asciiTheme="minorHAnsi" w:eastAsiaTheme="minorEastAsia" w:hAnsiTheme="minorHAnsi" w:cstheme="minorBidi"/>
      <w:sz w:val="20"/>
      <w:szCs w:val="20"/>
      <w:lang w:eastAsia="en-US"/>
    </w:rPr>
  </w:style>
  <w:style w:type="character" w:customStyle="1" w:styleId="FootnoteTextChar">
    <w:name w:val="Footnote Text Char"/>
    <w:basedOn w:val="DefaultParagraphFont"/>
    <w:link w:val="FootnoteText"/>
    <w:uiPriority w:val="99"/>
    <w:rsid w:val="002A67C1"/>
    <w:rPr>
      <w:sz w:val="20"/>
      <w:szCs w:val="20"/>
      <w:lang w:eastAsia="en-US"/>
    </w:rPr>
  </w:style>
  <w:style w:type="character" w:styleId="FootnoteReference">
    <w:name w:val="footnote reference"/>
    <w:basedOn w:val="DefaultParagraphFont"/>
    <w:uiPriority w:val="99"/>
    <w:unhideWhenUsed/>
    <w:rsid w:val="002A67C1"/>
    <w:rPr>
      <w:vertAlign w:val="superscript"/>
    </w:rPr>
  </w:style>
  <w:style w:type="character" w:styleId="CommentReference">
    <w:name w:val="annotation reference"/>
    <w:basedOn w:val="DefaultParagraphFont"/>
    <w:uiPriority w:val="99"/>
    <w:semiHidden/>
    <w:unhideWhenUsed/>
    <w:rsid w:val="00950660"/>
    <w:rPr>
      <w:sz w:val="16"/>
      <w:szCs w:val="16"/>
    </w:rPr>
  </w:style>
  <w:style w:type="paragraph" w:styleId="CommentText">
    <w:name w:val="annotation text"/>
    <w:basedOn w:val="Normal"/>
    <w:link w:val="CommentTextChar"/>
    <w:uiPriority w:val="99"/>
    <w:unhideWhenUsed/>
    <w:rsid w:val="00950660"/>
    <w:pPr>
      <w:spacing w:after="16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50660"/>
    <w:rPr>
      <w:sz w:val="20"/>
      <w:szCs w:val="20"/>
    </w:rPr>
  </w:style>
  <w:style w:type="paragraph" w:styleId="CommentSubject">
    <w:name w:val="annotation subject"/>
    <w:basedOn w:val="CommentText"/>
    <w:next w:val="CommentText"/>
    <w:link w:val="CommentSubjectChar"/>
    <w:uiPriority w:val="99"/>
    <w:semiHidden/>
    <w:unhideWhenUsed/>
    <w:rsid w:val="00950660"/>
    <w:rPr>
      <w:b/>
      <w:bCs/>
    </w:rPr>
  </w:style>
  <w:style w:type="character" w:customStyle="1" w:styleId="CommentSubjectChar">
    <w:name w:val="Comment Subject Char"/>
    <w:basedOn w:val="CommentTextChar"/>
    <w:link w:val="CommentSubject"/>
    <w:uiPriority w:val="99"/>
    <w:semiHidden/>
    <w:rsid w:val="00950660"/>
    <w:rPr>
      <w:b/>
      <w:bCs/>
      <w:sz w:val="20"/>
      <w:szCs w:val="20"/>
    </w:rPr>
  </w:style>
  <w:style w:type="paragraph" w:styleId="BalloonText">
    <w:name w:val="Balloon Text"/>
    <w:basedOn w:val="Normal"/>
    <w:link w:val="BalloonTextChar"/>
    <w:uiPriority w:val="99"/>
    <w:semiHidden/>
    <w:unhideWhenUsed/>
    <w:rsid w:val="00950660"/>
    <w:rPr>
      <w:rFonts w:eastAsiaTheme="minorEastAsia"/>
      <w:sz w:val="18"/>
      <w:szCs w:val="18"/>
    </w:rPr>
  </w:style>
  <w:style w:type="character" w:customStyle="1" w:styleId="BalloonTextChar">
    <w:name w:val="Balloon Text Char"/>
    <w:basedOn w:val="DefaultParagraphFont"/>
    <w:link w:val="BalloonText"/>
    <w:uiPriority w:val="99"/>
    <w:semiHidden/>
    <w:rsid w:val="00950660"/>
    <w:rPr>
      <w:rFonts w:ascii="Times New Roman" w:hAnsi="Times New Roman" w:cs="Times New Roman"/>
      <w:sz w:val="18"/>
      <w:szCs w:val="18"/>
    </w:rPr>
  </w:style>
  <w:style w:type="character" w:styleId="Emphasis">
    <w:name w:val="Emphasis"/>
    <w:basedOn w:val="DefaultParagraphFont"/>
    <w:uiPriority w:val="20"/>
    <w:qFormat/>
    <w:rsid w:val="00460A99"/>
    <w:rPr>
      <w:i/>
      <w:iCs/>
    </w:rPr>
  </w:style>
  <w:style w:type="paragraph" w:styleId="Footer">
    <w:name w:val="footer"/>
    <w:basedOn w:val="Normal"/>
    <w:link w:val="FooterChar"/>
    <w:uiPriority w:val="99"/>
    <w:unhideWhenUsed/>
    <w:rsid w:val="00E9313F"/>
    <w:pPr>
      <w:tabs>
        <w:tab w:val="center" w:pos="4320"/>
        <w:tab w:val="right" w:pos="8640"/>
      </w:tabs>
      <w:snapToGrid w:val="0"/>
    </w:pPr>
    <w:rPr>
      <w:rFonts w:asciiTheme="minorHAnsi" w:eastAsiaTheme="minorEastAsia" w:hAnsiTheme="minorHAnsi" w:cstheme="minorBidi"/>
      <w:sz w:val="18"/>
      <w:szCs w:val="18"/>
      <w:lang w:eastAsia="en-US"/>
    </w:rPr>
  </w:style>
  <w:style w:type="character" w:customStyle="1" w:styleId="FooterChar">
    <w:name w:val="Footer Char"/>
    <w:basedOn w:val="DefaultParagraphFont"/>
    <w:link w:val="Footer"/>
    <w:uiPriority w:val="99"/>
    <w:rsid w:val="00E9313F"/>
    <w:rPr>
      <w:sz w:val="18"/>
      <w:szCs w:val="18"/>
      <w:lang w:eastAsia="en-US"/>
    </w:rPr>
  </w:style>
  <w:style w:type="character" w:styleId="PageNumber">
    <w:name w:val="page number"/>
    <w:basedOn w:val="DefaultParagraphFont"/>
    <w:uiPriority w:val="99"/>
    <w:semiHidden/>
    <w:unhideWhenUsed/>
    <w:rsid w:val="00E9313F"/>
  </w:style>
  <w:style w:type="character" w:customStyle="1" w:styleId="Heading1Char">
    <w:name w:val="Heading 1 Char"/>
    <w:basedOn w:val="DefaultParagraphFont"/>
    <w:link w:val="Heading1"/>
    <w:uiPriority w:val="9"/>
    <w:rsid w:val="00C84A7E"/>
    <w:rPr>
      <w:rFonts w:asciiTheme="majorHAnsi" w:eastAsiaTheme="majorEastAsia" w:hAnsiTheme="majorHAnsi" w:cstheme="majorBidi"/>
      <w:color w:val="1F3864" w:themeColor="accent1" w:themeShade="80"/>
      <w:sz w:val="36"/>
      <w:szCs w:val="36"/>
      <w:lang w:eastAsia="en-US"/>
    </w:rPr>
  </w:style>
  <w:style w:type="character" w:customStyle="1" w:styleId="Heading2Char">
    <w:name w:val="Heading 2 Char"/>
    <w:basedOn w:val="DefaultParagraphFont"/>
    <w:link w:val="Heading2"/>
    <w:uiPriority w:val="9"/>
    <w:semiHidden/>
    <w:rsid w:val="00C84A7E"/>
    <w:rPr>
      <w:rFonts w:asciiTheme="majorHAnsi" w:eastAsiaTheme="majorEastAsia" w:hAnsiTheme="majorHAnsi" w:cstheme="majorBidi"/>
      <w:color w:val="2F5496" w:themeColor="accent1" w:themeShade="BF"/>
      <w:sz w:val="32"/>
      <w:szCs w:val="32"/>
      <w:lang w:eastAsia="en-US"/>
    </w:rPr>
  </w:style>
  <w:style w:type="character" w:customStyle="1" w:styleId="Heading3Char">
    <w:name w:val="Heading 3 Char"/>
    <w:basedOn w:val="DefaultParagraphFont"/>
    <w:link w:val="Heading3"/>
    <w:uiPriority w:val="9"/>
    <w:semiHidden/>
    <w:rsid w:val="00C84A7E"/>
    <w:rPr>
      <w:rFonts w:asciiTheme="majorHAnsi" w:eastAsiaTheme="majorEastAsia" w:hAnsiTheme="majorHAnsi" w:cstheme="majorBidi"/>
      <w:color w:val="2F5496" w:themeColor="accent1" w:themeShade="BF"/>
      <w:sz w:val="28"/>
      <w:szCs w:val="28"/>
      <w:lang w:eastAsia="en-US"/>
    </w:rPr>
  </w:style>
  <w:style w:type="character" w:customStyle="1" w:styleId="Heading4Char">
    <w:name w:val="Heading 4 Char"/>
    <w:basedOn w:val="DefaultParagraphFont"/>
    <w:link w:val="Heading4"/>
    <w:uiPriority w:val="9"/>
    <w:semiHidden/>
    <w:rsid w:val="00C84A7E"/>
    <w:rPr>
      <w:rFonts w:asciiTheme="majorHAnsi" w:eastAsiaTheme="majorEastAsia" w:hAnsiTheme="majorHAnsi" w:cstheme="majorBidi"/>
      <w:color w:val="2F5496" w:themeColor="accent1" w:themeShade="BF"/>
      <w:lang w:eastAsia="en-US"/>
    </w:rPr>
  </w:style>
  <w:style w:type="character" w:customStyle="1" w:styleId="Heading5Char">
    <w:name w:val="Heading 5 Char"/>
    <w:basedOn w:val="DefaultParagraphFont"/>
    <w:link w:val="Heading5"/>
    <w:uiPriority w:val="9"/>
    <w:semiHidden/>
    <w:rsid w:val="00C84A7E"/>
    <w:rPr>
      <w:rFonts w:asciiTheme="majorHAnsi" w:eastAsiaTheme="majorEastAsia" w:hAnsiTheme="majorHAnsi" w:cstheme="majorBidi"/>
      <w:caps/>
      <w:color w:val="2F5496" w:themeColor="accent1" w:themeShade="BF"/>
      <w:sz w:val="22"/>
      <w:szCs w:val="22"/>
      <w:lang w:eastAsia="en-US"/>
    </w:rPr>
  </w:style>
  <w:style w:type="character" w:customStyle="1" w:styleId="Heading6Char">
    <w:name w:val="Heading 6 Char"/>
    <w:basedOn w:val="DefaultParagraphFont"/>
    <w:link w:val="Heading6"/>
    <w:uiPriority w:val="9"/>
    <w:semiHidden/>
    <w:rsid w:val="00C84A7E"/>
    <w:rPr>
      <w:rFonts w:asciiTheme="majorHAnsi" w:eastAsiaTheme="majorEastAsia" w:hAnsiTheme="majorHAnsi" w:cstheme="majorBidi"/>
      <w:i/>
      <w:iCs/>
      <w:caps/>
      <w:color w:val="1F3864" w:themeColor="accent1" w:themeShade="80"/>
      <w:sz w:val="22"/>
      <w:szCs w:val="22"/>
      <w:lang w:eastAsia="en-US"/>
    </w:rPr>
  </w:style>
  <w:style w:type="character" w:customStyle="1" w:styleId="Heading7Char">
    <w:name w:val="Heading 7 Char"/>
    <w:basedOn w:val="DefaultParagraphFont"/>
    <w:link w:val="Heading7"/>
    <w:uiPriority w:val="9"/>
    <w:semiHidden/>
    <w:rsid w:val="00C84A7E"/>
    <w:rPr>
      <w:rFonts w:asciiTheme="majorHAnsi" w:eastAsiaTheme="majorEastAsia" w:hAnsiTheme="majorHAnsi" w:cstheme="majorBidi"/>
      <w:b/>
      <w:bCs/>
      <w:color w:val="1F3864" w:themeColor="accent1" w:themeShade="80"/>
      <w:sz w:val="22"/>
      <w:szCs w:val="22"/>
      <w:lang w:eastAsia="en-US"/>
    </w:rPr>
  </w:style>
  <w:style w:type="character" w:customStyle="1" w:styleId="Heading8Char">
    <w:name w:val="Heading 8 Char"/>
    <w:basedOn w:val="DefaultParagraphFont"/>
    <w:link w:val="Heading8"/>
    <w:uiPriority w:val="9"/>
    <w:semiHidden/>
    <w:rsid w:val="00C84A7E"/>
    <w:rPr>
      <w:rFonts w:asciiTheme="majorHAnsi" w:eastAsiaTheme="majorEastAsia" w:hAnsiTheme="majorHAnsi" w:cstheme="majorBidi"/>
      <w:b/>
      <w:bCs/>
      <w:i/>
      <w:iCs/>
      <w:color w:val="1F3864" w:themeColor="accent1" w:themeShade="80"/>
      <w:sz w:val="22"/>
      <w:szCs w:val="22"/>
      <w:lang w:eastAsia="en-US"/>
    </w:rPr>
  </w:style>
  <w:style w:type="character" w:customStyle="1" w:styleId="Heading9Char">
    <w:name w:val="Heading 9 Char"/>
    <w:basedOn w:val="DefaultParagraphFont"/>
    <w:link w:val="Heading9"/>
    <w:uiPriority w:val="9"/>
    <w:semiHidden/>
    <w:rsid w:val="00C84A7E"/>
    <w:rPr>
      <w:rFonts w:asciiTheme="majorHAnsi" w:eastAsiaTheme="majorEastAsia" w:hAnsiTheme="majorHAnsi" w:cstheme="majorBidi"/>
      <w:i/>
      <w:iCs/>
      <w:color w:val="1F3864" w:themeColor="accent1" w:themeShade="80"/>
      <w:sz w:val="22"/>
      <w:szCs w:val="22"/>
      <w:lang w:eastAsia="en-US"/>
    </w:rPr>
  </w:style>
  <w:style w:type="table" w:styleId="TableGrid">
    <w:name w:val="Table Grid"/>
    <w:basedOn w:val="TableNormal"/>
    <w:uiPriority w:val="39"/>
    <w:rsid w:val="00C84A7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84A7E"/>
    <w:rPr>
      <w:sz w:val="20"/>
      <w:szCs w:val="20"/>
      <w:lang w:eastAsia="en-US"/>
    </w:rPr>
  </w:style>
  <w:style w:type="character" w:customStyle="1" w:styleId="EndnoteTextChar">
    <w:name w:val="Endnote Text Char"/>
    <w:basedOn w:val="DefaultParagraphFont"/>
    <w:link w:val="EndnoteText"/>
    <w:uiPriority w:val="99"/>
    <w:semiHidden/>
    <w:rsid w:val="00C84A7E"/>
    <w:rPr>
      <w:sz w:val="20"/>
      <w:szCs w:val="20"/>
      <w:lang w:eastAsia="en-US"/>
    </w:rPr>
  </w:style>
  <w:style w:type="character" w:styleId="EndnoteReference">
    <w:name w:val="endnote reference"/>
    <w:basedOn w:val="DefaultParagraphFont"/>
    <w:uiPriority w:val="99"/>
    <w:semiHidden/>
    <w:unhideWhenUsed/>
    <w:rsid w:val="00C84A7E"/>
    <w:rPr>
      <w:vertAlign w:val="superscript"/>
    </w:rPr>
  </w:style>
  <w:style w:type="paragraph" w:styleId="Revision">
    <w:name w:val="Revision"/>
    <w:hidden/>
    <w:uiPriority w:val="99"/>
    <w:semiHidden/>
    <w:rsid w:val="00C84A7E"/>
    <w:rPr>
      <w:lang w:eastAsia="en-US"/>
    </w:rPr>
  </w:style>
  <w:style w:type="character" w:customStyle="1" w:styleId="tl8wme">
    <w:name w:val="tl8wme"/>
    <w:basedOn w:val="DefaultParagraphFont"/>
    <w:rsid w:val="00C84A7E"/>
  </w:style>
  <w:style w:type="character" w:styleId="Hyperlink">
    <w:name w:val="Hyperlink"/>
    <w:basedOn w:val="DefaultParagraphFont"/>
    <w:uiPriority w:val="99"/>
    <w:unhideWhenUsed/>
    <w:rsid w:val="00C84A7E"/>
    <w:rPr>
      <w:color w:val="0563C1" w:themeColor="hyperlink"/>
      <w:u w:val="single"/>
    </w:rPr>
  </w:style>
  <w:style w:type="character" w:customStyle="1" w:styleId="st">
    <w:name w:val="st"/>
    <w:basedOn w:val="DefaultParagraphFont"/>
    <w:rsid w:val="00C84A7E"/>
  </w:style>
  <w:style w:type="paragraph" w:styleId="HTMLPreformatted">
    <w:name w:val="HTML Preformatted"/>
    <w:basedOn w:val="Normal"/>
    <w:link w:val="HTMLPreformattedChar"/>
    <w:uiPriority w:val="99"/>
    <w:unhideWhenUsed/>
    <w:rsid w:val="00C84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C84A7E"/>
    <w:rPr>
      <w:rFonts w:ascii="Courier" w:hAnsi="Courier" w:cs="Courier"/>
      <w:sz w:val="20"/>
      <w:szCs w:val="20"/>
    </w:rPr>
  </w:style>
  <w:style w:type="character" w:customStyle="1" w:styleId="TitleChar">
    <w:name w:val="Title Char"/>
    <w:basedOn w:val="DefaultParagraphFont"/>
    <w:link w:val="Title"/>
    <w:uiPriority w:val="10"/>
    <w:rsid w:val="00C84A7E"/>
    <w:rPr>
      <w:rFonts w:asciiTheme="majorHAnsi" w:eastAsiaTheme="majorEastAsia" w:hAnsiTheme="majorHAnsi" w:cstheme="majorBidi"/>
      <w:caps/>
      <w:color w:val="44546A" w:themeColor="text2"/>
      <w:spacing w:val="-15"/>
      <w:sz w:val="72"/>
      <w:szCs w:val="72"/>
      <w:lang w:eastAsia="en-US"/>
    </w:rPr>
  </w:style>
  <w:style w:type="paragraph" w:styleId="Title">
    <w:name w:val="Title"/>
    <w:basedOn w:val="Normal"/>
    <w:next w:val="Normal"/>
    <w:link w:val="TitleChar"/>
    <w:uiPriority w:val="10"/>
    <w:qFormat/>
    <w:rsid w:val="00C84A7E"/>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1">
    <w:name w:val="Title Char1"/>
    <w:basedOn w:val="DefaultParagraphFont"/>
    <w:uiPriority w:val="10"/>
    <w:rsid w:val="00C84A7E"/>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C84A7E"/>
    <w:rPr>
      <w:rFonts w:asciiTheme="majorHAnsi" w:eastAsiaTheme="majorEastAsia" w:hAnsiTheme="majorHAnsi" w:cstheme="majorBidi"/>
      <w:color w:val="4472C4" w:themeColor="accent1"/>
      <w:sz w:val="28"/>
      <w:szCs w:val="28"/>
      <w:lang w:eastAsia="en-US"/>
    </w:rPr>
  </w:style>
  <w:style w:type="paragraph" w:styleId="Subtitle">
    <w:name w:val="Subtitle"/>
    <w:basedOn w:val="Normal"/>
    <w:next w:val="Normal"/>
    <w:link w:val="SubtitleChar"/>
    <w:uiPriority w:val="11"/>
    <w:qFormat/>
    <w:rsid w:val="00C84A7E"/>
    <w:pPr>
      <w:numPr>
        <w:ilvl w:val="1"/>
      </w:numPr>
      <w:spacing w:after="240"/>
    </w:pPr>
    <w:rPr>
      <w:rFonts w:asciiTheme="majorHAnsi" w:eastAsiaTheme="majorEastAsia" w:hAnsiTheme="majorHAnsi" w:cstheme="majorBidi"/>
      <w:color w:val="4472C4" w:themeColor="accent1"/>
      <w:sz w:val="28"/>
      <w:szCs w:val="28"/>
      <w:lang w:eastAsia="en-US"/>
    </w:rPr>
  </w:style>
  <w:style w:type="character" w:customStyle="1" w:styleId="SubtitleChar1">
    <w:name w:val="Subtitle Char1"/>
    <w:basedOn w:val="DefaultParagraphFont"/>
    <w:uiPriority w:val="11"/>
    <w:rsid w:val="00C84A7E"/>
    <w:rPr>
      <w:color w:val="5A5A5A" w:themeColor="text1" w:themeTint="A5"/>
      <w:spacing w:val="15"/>
      <w:sz w:val="22"/>
      <w:szCs w:val="22"/>
    </w:rPr>
  </w:style>
  <w:style w:type="character" w:customStyle="1" w:styleId="QuoteChar">
    <w:name w:val="Quote Char"/>
    <w:basedOn w:val="DefaultParagraphFont"/>
    <w:link w:val="Quote"/>
    <w:uiPriority w:val="29"/>
    <w:rsid w:val="00C84A7E"/>
    <w:rPr>
      <w:color w:val="44546A" w:themeColor="text2"/>
      <w:lang w:eastAsia="en-US"/>
    </w:rPr>
  </w:style>
  <w:style w:type="paragraph" w:styleId="Quote">
    <w:name w:val="Quote"/>
    <w:basedOn w:val="Normal"/>
    <w:next w:val="Normal"/>
    <w:link w:val="QuoteChar"/>
    <w:uiPriority w:val="29"/>
    <w:qFormat/>
    <w:rsid w:val="00C84A7E"/>
    <w:pPr>
      <w:spacing w:before="120" w:after="120" w:line="259" w:lineRule="auto"/>
      <w:ind w:left="720"/>
    </w:pPr>
    <w:rPr>
      <w:rFonts w:asciiTheme="minorHAnsi" w:eastAsiaTheme="minorEastAsia" w:hAnsiTheme="minorHAnsi" w:cstheme="minorBidi"/>
      <w:color w:val="44546A" w:themeColor="text2"/>
      <w:lang w:eastAsia="en-US"/>
    </w:rPr>
  </w:style>
  <w:style w:type="character" w:customStyle="1" w:styleId="QuoteChar1">
    <w:name w:val="Quote Char1"/>
    <w:basedOn w:val="DefaultParagraphFont"/>
    <w:uiPriority w:val="29"/>
    <w:rsid w:val="00C84A7E"/>
    <w:rPr>
      <w:i/>
      <w:iCs/>
      <w:color w:val="404040" w:themeColor="text1" w:themeTint="BF"/>
      <w:sz w:val="22"/>
      <w:szCs w:val="22"/>
    </w:rPr>
  </w:style>
  <w:style w:type="character" w:customStyle="1" w:styleId="IntenseQuoteChar">
    <w:name w:val="Intense Quote Char"/>
    <w:basedOn w:val="DefaultParagraphFont"/>
    <w:link w:val="IntenseQuote"/>
    <w:uiPriority w:val="30"/>
    <w:rsid w:val="00C84A7E"/>
    <w:rPr>
      <w:rFonts w:asciiTheme="majorHAnsi" w:eastAsiaTheme="majorEastAsia" w:hAnsiTheme="majorHAnsi" w:cstheme="majorBidi"/>
      <w:color w:val="44546A" w:themeColor="text2"/>
      <w:spacing w:val="-6"/>
      <w:sz w:val="32"/>
      <w:szCs w:val="32"/>
      <w:lang w:eastAsia="en-US"/>
    </w:rPr>
  </w:style>
  <w:style w:type="paragraph" w:styleId="IntenseQuote">
    <w:name w:val="Intense Quote"/>
    <w:basedOn w:val="Normal"/>
    <w:next w:val="Normal"/>
    <w:link w:val="IntenseQuoteChar"/>
    <w:uiPriority w:val="30"/>
    <w:qFormat/>
    <w:rsid w:val="00C84A7E"/>
    <w:pPr>
      <w:spacing w:before="100" w:beforeAutospacing="1" w:after="240"/>
      <w:ind w:left="720"/>
      <w:jc w:val="center"/>
    </w:pPr>
    <w:rPr>
      <w:rFonts w:asciiTheme="majorHAnsi" w:eastAsiaTheme="majorEastAsia" w:hAnsiTheme="majorHAnsi" w:cstheme="majorBidi"/>
      <w:color w:val="44546A" w:themeColor="text2"/>
      <w:spacing w:val="-6"/>
      <w:sz w:val="32"/>
      <w:szCs w:val="32"/>
      <w:lang w:eastAsia="en-US"/>
    </w:rPr>
  </w:style>
  <w:style w:type="character" w:customStyle="1" w:styleId="IntenseQuoteChar1">
    <w:name w:val="Intense Quote Char1"/>
    <w:basedOn w:val="DefaultParagraphFont"/>
    <w:uiPriority w:val="30"/>
    <w:rsid w:val="00C84A7E"/>
    <w:rPr>
      <w:i/>
      <w:iCs/>
      <w:color w:val="4472C4" w:themeColor="accent1"/>
      <w:sz w:val="22"/>
      <w:szCs w:val="22"/>
    </w:rPr>
  </w:style>
  <w:style w:type="paragraph" w:styleId="NormalWeb">
    <w:name w:val="Normal (Web)"/>
    <w:basedOn w:val="Normal"/>
    <w:uiPriority w:val="99"/>
    <w:unhideWhenUsed/>
    <w:rsid w:val="00C84A7E"/>
    <w:pPr>
      <w:spacing w:before="100" w:beforeAutospacing="1" w:after="100" w:afterAutospacing="1"/>
    </w:pPr>
  </w:style>
  <w:style w:type="character" w:customStyle="1" w:styleId="name">
    <w:name w:val="name"/>
    <w:basedOn w:val="DefaultParagraphFont"/>
    <w:rsid w:val="00596E39"/>
  </w:style>
  <w:style w:type="character" w:customStyle="1" w:styleId="surname">
    <w:name w:val="surname"/>
    <w:basedOn w:val="DefaultParagraphFont"/>
    <w:rsid w:val="00596E39"/>
  </w:style>
  <w:style w:type="character" w:customStyle="1" w:styleId="given-names">
    <w:name w:val="given-names"/>
    <w:basedOn w:val="DefaultParagraphFont"/>
    <w:rsid w:val="00596E39"/>
  </w:style>
  <w:style w:type="character" w:customStyle="1" w:styleId="year">
    <w:name w:val="year"/>
    <w:basedOn w:val="DefaultParagraphFont"/>
    <w:rsid w:val="00596E39"/>
  </w:style>
  <w:style w:type="character" w:customStyle="1" w:styleId="article-title">
    <w:name w:val="article-title"/>
    <w:basedOn w:val="DefaultParagraphFont"/>
    <w:rsid w:val="00596E39"/>
  </w:style>
  <w:style w:type="character" w:customStyle="1" w:styleId="source">
    <w:name w:val="source"/>
    <w:basedOn w:val="DefaultParagraphFont"/>
    <w:rsid w:val="00596E39"/>
  </w:style>
  <w:style w:type="character" w:customStyle="1" w:styleId="volume">
    <w:name w:val="volume"/>
    <w:basedOn w:val="DefaultParagraphFont"/>
    <w:rsid w:val="00596E39"/>
  </w:style>
  <w:style w:type="character" w:customStyle="1" w:styleId="issue">
    <w:name w:val="issue"/>
    <w:basedOn w:val="DefaultParagraphFont"/>
    <w:rsid w:val="00596E39"/>
  </w:style>
  <w:style w:type="character" w:customStyle="1" w:styleId="fpage">
    <w:name w:val="fpage"/>
    <w:basedOn w:val="DefaultParagraphFont"/>
    <w:rsid w:val="00596E39"/>
  </w:style>
  <w:style w:type="character" w:customStyle="1" w:styleId="lpage">
    <w:name w:val="lpage"/>
    <w:basedOn w:val="DefaultParagraphFont"/>
    <w:rsid w:val="00596E39"/>
  </w:style>
  <w:style w:type="paragraph" w:styleId="Header">
    <w:name w:val="header"/>
    <w:basedOn w:val="Normal"/>
    <w:link w:val="HeaderChar"/>
    <w:uiPriority w:val="99"/>
    <w:unhideWhenUsed/>
    <w:rsid w:val="007871C4"/>
    <w:pPr>
      <w:tabs>
        <w:tab w:val="center" w:pos="4680"/>
        <w:tab w:val="right" w:pos="9360"/>
      </w:tabs>
    </w:pPr>
  </w:style>
  <w:style w:type="character" w:customStyle="1" w:styleId="HeaderChar">
    <w:name w:val="Header Char"/>
    <w:basedOn w:val="DefaultParagraphFont"/>
    <w:link w:val="Header"/>
    <w:uiPriority w:val="99"/>
    <w:rsid w:val="007871C4"/>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A72BBD"/>
    <w:rPr>
      <w:color w:val="605E5C"/>
      <w:shd w:val="clear" w:color="auto" w:fill="E1DFDD"/>
    </w:rPr>
  </w:style>
  <w:style w:type="character" w:styleId="UnresolvedMention">
    <w:name w:val="Unresolved Mention"/>
    <w:basedOn w:val="DefaultParagraphFont"/>
    <w:uiPriority w:val="99"/>
    <w:semiHidden/>
    <w:unhideWhenUsed/>
    <w:rsid w:val="00512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1654">
      <w:bodyDiv w:val="1"/>
      <w:marLeft w:val="0"/>
      <w:marRight w:val="0"/>
      <w:marTop w:val="0"/>
      <w:marBottom w:val="0"/>
      <w:divBdr>
        <w:top w:val="none" w:sz="0" w:space="0" w:color="auto"/>
        <w:left w:val="none" w:sz="0" w:space="0" w:color="auto"/>
        <w:bottom w:val="none" w:sz="0" w:space="0" w:color="auto"/>
        <w:right w:val="none" w:sz="0" w:space="0" w:color="auto"/>
      </w:divBdr>
      <w:divsChild>
        <w:div w:id="1612858733">
          <w:marLeft w:val="0"/>
          <w:marRight w:val="0"/>
          <w:marTop w:val="0"/>
          <w:marBottom w:val="0"/>
          <w:divBdr>
            <w:top w:val="none" w:sz="0" w:space="0" w:color="auto"/>
            <w:left w:val="none" w:sz="0" w:space="0" w:color="auto"/>
            <w:bottom w:val="none" w:sz="0" w:space="0" w:color="auto"/>
            <w:right w:val="none" w:sz="0" w:space="0" w:color="auto"/>
          </w:divBdr>
          <w:divsChild>
            <w:div w:id="569737020">
              <w:marLeft w:val="0"/>
              <w:marRight w:val="0"/>
              <w:marTop w:val="0"/>
              <w:marBottom w:val="0"/>
              <w:divBdr>
                <w:top w:val="none" w:sz="0" w:space="0" w:color="auto"/>
                <w:left w:val="none" w:sz="0" w:space="0" w:color="auto"/>
                <w:bottom w:val="none" w:sz="0" w:space="0" w:color="auto"/>
                <w:right w:val="none" w:sz="0" w:space="0" w:color="auto"/>
              </w:divBdr>
              <w:divsChild>
                <w:div w:id="569998806">
                  <w:marLeft w:val="0"/>
                  <w:marRight w:val="0"/>
                  <w:marTop w:val="0"/>
                  <w:marBottom w:val="0"/>
                  <w:divBdr>
                    <w:top w:val="none" w:sz="0" w:space="0" w:color="auto"/>
                    <w:left w:val="none" w:sz="0" w:space="0" w:color="auto"/>
                    <w:bottom w:val="none" w:sz="0" w:space="0" w:color="auto"/>
                    <w:right w:val="none" w:sz="0" w:space="0" w:color="auto"/>
                  </w:divBdr>
                  <w:divsChild>
                    <w:div w:id="15665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25879">
      <w:bodyDiv w:val="1"/>
      <w:marLeft w:val="0"/>
      <w:marRight w:val="0"/>
      <w:marTop w:val="0"/>
      <w:marBottom w:val="0"/>
      <w:divBdr>
        <w:top w:val="none" w:sz="0" w:space="0" w:color="auto"/>
        <w:left w:val="none" w:sz="0" w:space="0" w:color="auto"/>
        <w:bottom w:val="none" w:sz="0" w:space="0" w:color="auto"/>
        <w:right w:val="none" w:sz="0" w:space="0" w:color="auto"/>
      </w:divBdr>
    </w:div>
    <w:div w:id="104541107">
      <w:bodyDiv w:val="1"/>
      <w:marLeft w:val="0"/>
      <w:marRight w:val="0"/>
      <w:marTop w:val="0"/>
      <w:marBottom w:val="0"/>
      <w:divBdr>
        <w:top w:val="none" w:sz="0" w:space="0" w:color="auto"/>
        <w:left w:val="none" w:sz="0" w:space="0" w:color="auto"/>
        <w:bottom w:val="none" w:sz="0" w:space="0" w:color="auto"/>
        <w:right w:val="none" w:sz="0" w:space="0" w:color="auto"/>
      </w:divBdr>
    </w:div>
    <w:div w:id="256713267">
      <w:bodyDiv w:val="1"/>
      <w:marLeft w:val="0"/>
      <w:marRight w:val="0"/>
      <w:marTop w:val="0"/>
      <w:marBottom w:val="0"/>
      <w:divBdr>
        <w:top w:val="none" w:sz="0" w:space="0" w:color="auto"/>
        <w:left w:val="none" w:sz="0" w:space="0" w:color="auto"/>
        <w:bottom w:val="none" w:sz="0" w:space="0" w:color="auto"/>
        <w:right w:val="none" w:sz="0" w:space="0" w:color="auto"/>
      </w:divBdr>
    </w:div>
    <w:div w:id="296884375">
      <w:bodyDiv w:val="1"/>
      <w:marLeft w:val="0"/>
      <w:marRight w:val="0"/>
      <w:marTop w:val="0"/>
      <w:marBottom w:val="0"/>
      <w:divBdr>
        <w:top w:val="none" w:sz="0" w:space="0" w:color="auto"/>
        <w:left w:val="none" w:sz="0" w:space="0" w:color="auto"/>
        <w:bottom w:val="none" w:sz="0" w:space="0" w:color="auto"/>
        <w:right w:val="none" w:sz="0" w:space="0" w:color="auto"/>
      </w:divBdr>
    </w:div>
    <w:div w:id="318844793">
      <w:bodyDiv w:val="1"/>
      <w:marLeft w:val="0"/>
      <w:marRight w:val="0"/>
      <w:marTop w:val="0"/>
      <w:marBottom w:val="0"/>
      <w:divBdr>
        <w:top w:val="none" w:sz="0" w:space="0" w:color="auto"/>
        <w:left w:val="none" w:sz="0" w:space="0" w:color="auto"/>
        <w:bottom w:val="none" w:sz="0" w:space="0" w:color="auto"/>
        <w:right w:val="none" w:sz="0" w:space="0" w:color="auto"/>
      </w:divBdr>
    </w:div>
    <w:div w:id="356657145">
      <w:bodyDiv w:val="1"/>
      <w:marLeft w:val="0"/>
      <w:marRight w:val="0"/>
      <w:marTop w:val="0"/>
      <w:marBottom w:val="0"/>
      <w:divBdr>
        <w:top w:val="none" w:sz="0" w:space="0" w:color="auto"/>
        <w:left w:val="none" w:sz="0" w:space="0" w:color="auto"/>
        <w:bottom w:val="none" w:sz="0" w:space="0" w:color="auto"/>
        <w:right w:val="none" w:sz="0" w:space="0" w:color="auto"/>
      </w:divBdr>
    </w:div>
    <w:div w:id="459539504">
      <w:bodyDiv w:val="1"/>
      <w:marLeft w:val="0"/>
      <w:marRight w:val="0"/>
      <w:marTop w:val="0"/>
      <w:marBottom w:val="0"/>
      <w:divBdr>
        <w:top w:val="none" w:sz="0" w:space="0" w:color="auto"/>
        <w:left w:val="none" w:sz="0" w:space="0" w:color="auto"/>
        <w:bottom w:val="none" w:sz="0" w:space="0" w:color="auto"/>
        <w:right w:val="none" w:sz="0" w:space="0" w:color="auto"/>
      </w:divBdr>
    </w:div>
    <w:div w:id="507791464">
      <w:bodyDiv w:val="1"/>
      <w:marLeft w:val="0"/>
      <w:marRight w:val="0"/>
      <w:marTop w:val="0"/>
      <w:marBottom w:val="0"/>
      <w:divBdr>
        <w:top w:val="none" w:sz="0" w:space="0" w:color="auto"/>
        <w:left w:val="none" w:sz="0" w:space="0" w:color="auto"/>
        <w:bottom w:val="none" w:sz="0" w:space="0" w:color="auto"/>
        <w:right w:val="none" w:sz="0" w:space="0" w:color="auto"/>
      </w:divBdr>
    </w:div>
    <w:div w:id="511650373">
      <w:bodyDiv w:val="1"/>
      <w:marLeft w:val="0"/>
      <w:marRight w:val="0"/>
      <w:marTop w:val="0"/>
      <w:marBottom w:val="0"/>
      <w:divBdr>
        <w:top w:val="none" w:sz="0" w:space="0" w:color="auto"/>
        <w:left w:val="none" w:sz="0" w:space="0" w:color="auto"/>
        <w:bottom w:val="none" w:sz="0" w:space="0" w:color="auto"/>
        <w:right w:val="none" w:sz="0" w:space="0" w:color="auto"/>
      </w:divBdr>
    </w:div>
    <w:div w:id="622348400">
      <w:bodyDiv w:val="1"/>
      <w:marLeft w:val="0"/>
      <w:marRight w:val="0"/>
      <w:marTop w:val="0"/>
      <w:marBottom w:val="0"/>
      <w:divBdr>
        <w:top w:val="none" w:sz="0" w:space="0" w:color="auto"/>
        <w:left w:val="none" w:sz="0" w:space="0" w:color="auto"/>
        <w:bottom w:val="none" w:sz="0" w:space="0" w:color="auto"/>
        <w:right w:val="none" w:sz="0" w:space="0" w:color="auto"/>
      </w:divBdr>
    </w:div>
    <w:div w:id="647245542">
      <w:bodyDiv w:val="1"/>
      <w:marLeft w:val="0"/>
      <w:marRight w:val="0"/>
      <w:marTop w:val="0"/>
      <w:marBottom w:val="0"/>
      <w:divBdr>
        <w:top w:val="none" w:sz="0" w:space="0" w:color="auto"/>
        <w:left w:val="none" w:sz="0" w:space="0" w:color="auto"/>
        <w:bottom w:val="none" w:sz="0" w:space="0" w:color="auto"/>
        <w:right w:val="none" w:sz="0" w:space="0" w:color="auto"/>
      </w:divBdr>
    </w:div>
    <w:div w:id="917592375">
      <w:bodyDiv w:val="1"/>
      <w:marLeft w:val="0"/>
      <w:marRight w:val="0"/>
      <w:marTop w:val="0"/>
      <w:marBottom w:val="0"/>
      <w:divBdr>
        <w:top w:val="none" w:sz="0" w:space="0" w:color="auto"/>
        <w:left w:val="none" w:sz="0" w:space="0" w:color="auto"/>
        <w:bottom w:val="none" w:sz="0" w:space="0" w:color="auto"/>
        <w:right w:val="none" w:sz="0" w:space="0" w:color="auto"/>
      </w:divBdr>
    </w:div>
    <w:div w:id="944002154">
      <w:bodyDiv w:val="1"/>
      <w:marLeft w:val="0"/>
      <w:marRight w:val="0"/>
      <w:marTop w:val="0"/>
      <w:marBottom w:val="0"/>
      <w:divBdr>
        <w:top w:val="none" w:sz="0" w:space="0" w:color="auto"/>
        <w:left w:val="none" w:sz="0" w:space="0" w:color="auto"/>
        <w:bottom w:val="none" w:sz="0" w:space="0" w:color="auto"/>
        <w:right w:val="none" w:sz="0" w:space="0" w:color="auto"/>
      </w:divBdr>
    </w:div>
    <w:div w:id="1079716358">
      <w:bodyDiv w:val="1"/>
      <w:marLeft w:val="0"/>
      <w:marRight w:val="0"/>
      <w:marTop w:val="0"/>
      <w:marBottom w:val="0"/>
      <w:divBdr>
        <w:top w:val="none" w:sz="0" w:space="0" w:color="auto"/>
        <w:left w:val="none" w:sz="0" w:space="0" w:color="auto"/>
        <w:bottom w:val="none" w:sz="0" w:space="0" w:color="auto"/>
        <w:right w:val="none" w:sz="0" w:space="0" w:color="auto"/>
      </w:divBdr>
    </w:div>
    <w:div w:id="1268851426">
      <w:bodyDiv w:val="1"/>
      <w:marLeft w:val="0"/>
      <w:marRight w:val="0"/>
      <w:marTop w:val="0"/>
      <w:marBottom w:val="0"/>
      <w:divBdr>
        <w:top w:val="none" w:sz="0" w:space="0" w:color="auto"/>
        <w:left w:val="none" w:sz="0" w:space="0" w:color="auto"/>
        <w:bottom w:val="none" w:sz="0" w:space="0" w:color="auto"/>
        <w:right w:val="none" w:sz="0" w:space="0" w:color="auto"/>
      </w:divBdr>
    </w:div>
    <w:div w:id="1289240379">
      <w:bodyDiv w:val="1"/>
      <w:marLeft w:val="0"/>
      <w:marRight w:val="0"/>
      <w:marTop w:val="0"/>
      <w:marBottom w:val="0"/>
      <w:divBdr>
        <w:top w:val="none" w:sz="0" w:space="0" w:color="auto"/>
        <w:left w:val="none" w:sz="0" w:space="0" w:color="auto"/>
        <w:bottom w:val="none" w:sz="0" w:space="0" w:color="auto"/>
        <w:right w:val="none" w:sz="0" w:space="0" w:color="auto"/>
      </w:divBdr>
    </w:div>
    <w:div w:id="1305621108">
      <w:bodyDiv w:val="1"/>
      <w:marLeft w:val="0"/>
      <w:marRight w:val="0"/>
      <w:marTop w:val="0"/>
      <w:marBottom w:val="0"/>
      <w:divBdr>
        <w:top w:val="none" w:sz="0" w:space="0" w:color="auto"/>
        <w:left w:val="none" w:sz="0" w:space="0" w:color="auto"/>
        <w:bottom w:val="none" w:sz="0" w:space="0" w:color="auto"/>
        <w:right w:val="none" w:sz="0" w:space="0" w:color="auto"/>
      </w:divBdr>
    </w:div>
    <w:div w:id="1378894778">
      <w:bodyDiv w:val="1"/>
      <w:marLeft w:val="0"/>
      <w:marRight w:val="0"/>
      <w:marTop w:val="0"/>
      <w:marBottom w:val="0"/>
      <w:divBdr>
        <w:top w:val="none" w:sz="0" w:space="0" w:color="auto"/>
        <w:left w:val="none" w:sz="0" w:space="0" w:color="auto"/>
        <w:bottom w:val="none" w:sz="0" w:space="0" w:color="auto"/>
        <w:right w:val="none" w:sz="0" w:space="0" w:color="auto"/>
      </w:divBdr>
    </w:div>
    <w:div w:id="1524857708">
      <w:bodyDiv w:val="1"/>
      <w:marLeft w:val="0"/>
      <w:marRight w:val="0"/>
      <w:marTop w:val="0"/>
      <w:marBottom w:val="0"/>
      <w:divBdr>
        <w:top w:val="none" w:sz="0" w:space="0" w:color="auto"/>
        <w:left w:val="none" w:sz="0" w:space="0" w:color="auto"/>
        <w:bottom w:val="none" w:sz="0" w:space="0" w:color="auto"/>
        <w:right w:val="none" w:sz="0" w:space="0" w:color="auto"/>
      </w:divBdr>
      <w:divsChild>
        <w:div w:id="1160971874">
          <w:marLeft w:val="0"/>
          <w:marRight w:val="0"/>
          <w:marTop w:val="0"/>
          <w:marBottom w:val="0"/>
          <w:divBdr>
            <w:top w:val="none" w:sz="0" w:space="0" w:color="auto"/>
            <w:left w:val="none" w:sz="0" w:space="0" w:color="auto"/>
            <w:bottom w:val="none" w:sz="0" w:space="0" w:color="auto"/>
            <w:right w:val="none" w:sz="0" w:space="0" w:color="auto"/>
          </w:divBdr>
          <w:divsChild>
            <w:div w:id="47414543">
              <w:marLeft w:val="0"/>
              <w:marRight w:val="0"/>
              <w:marTop w:val="0"/>
              <w:marBottom w:val="0"/>
              <w:divBdr>
                <w:top w:val="none" w:sz="0" w:space="0" w:color="auto"/>
                <w:left w:val="none" w:sz="0" w:space="0" w:color="auto"/>
                <w:bottom w:val="none" w:sz="0" w:space="0" w:color="auto"/>
                <w:right w:val="none" w:sz="0" w:space="0" w:color="auto"/>
              </w:divBdr>
              <w:divsChild>
                <w:div w:id="10350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85941">
      <w:bodyDiv w:val="1"/>
      <w:marLeft w:val="0"/>
      <w:marRight w:val="0"/>
      <w:marTop w:val="0"/>
      <w:marBottom w:val="0"/>
      <w:divBdr>
        <w:top w:val="none" w:sz="0" w:space="0" w:color="auto"/>
        <w:left w:val="none" w:sz="0" w:space="0" w:color="auto"/>
        <w:bottom w:val="none" w:sz="0" w:space="0" w:color="auto"/>
        <w:right w:val="none" w:sz="0" w:space="0" w:color="auto"/>
      </w:divBdr>
    </w:div>
    <w:div w:id="1639260714">
      <w:bodyDiv w:val="1"/>
      <w:marLeft w:val="0"/>
      <w:marRight w:val="0"/>
      <w:marTop w:val="0"/>
      <w:marBottom w:val="0"/>
      <w:divBdr>
        <w:top w:val="none" w:sz="0" w:space="0" w:color="auto"/>
        <w:left w:val="none" w:sz="0" w:space="0" w:color="auto"/>
        <w:bottom w:val="none" w:sz="0" w:space="0" w:color="auto"/>
        <w:right w:val="none" w:sz="0" w:space="0" w:color="auto"/>
      </w:divBdr>
    </w:div>
    <w:div w:id="1655716272">
      <w:bodyDiv w:val="1"/>
      <w:marLeft w:val="0"/>
      <w:marRight w:val="0"/>
      <w:marTop w:val="0"/>
      <w:marBottom w:val="0"/>
      <w:divBdr>
        <w:top w:val="none" w:sz="0" w:space="0" w:color="auto"/>
        <w:left w:val="none" w:sz="0" w:space="0" w:color="auto"/>
        <w:bottom w:val="none" w:sz="0" w:space="0" w:color="auto"/>
        <w:right w:val="none" w:sz="0" w:space="0" w:color="auto"/>
      </w:divBdr>
    </w:div>
    <w:div w:id="1676688973">
      <w:bodyDiv w:val="1"/>
      <w:marLeft w:val="0"/>
      <w:marRight w:val="0"/>
      <w:marTop w:val="0"/>
      <w:marBottom w:val="0"/>
      <w:divBdr>
        <w:top w:val="none" w:sz="0" w:space="0" w:color="auto"/>
        <w:left w:val="none" w:sz="0" w:space="0" w:color="auto"/>
        <w:bottom w:val="none" w:sz="0" w:space="0" w:color="auto"/>
        <w:right w:val="none" w:sz="0" w:space="0" w:color="auto"/>
      </w:divBdr>
    </w:div>
    <w:div w:id="1851795645">
      <w:bodyDiv w:val="1"/>
      <w:marLeft w:val="0"/>
      <w:marRight w:val="0"/>
      <w:marTop w:val="0"/>
      <w:marBottom w:val="0"/>
      <w:divBdr>
        <w:top w:val="none" w:sz="0" w:space="0" w:color="auto"/>
        <w:left w:val="none" w:sz="0" w:space="0" w:color="auto"/>
        <w:bottom w:val="none" w:sz="0" w:space="0" w:color="auto"/>
        <w:right w:val="none" w:sz="0" w:space="0" w:color="auto"/>
      </w:divBdr>
    </w:div>
    <w:div w:id="1923953436">
      <w:bodyDiv w:val="1"/>
      <w:marLeft w:val="0"/>
      <w:marRight w:val="0"/>
      <w:marTop w:val="0"/>
      <w:marBottom w:val="0"/>
      <w:divBdr>
        <w:top w:val="none" w:sz="0" w:space="0" w:color="auto"/>
        <w:left w:val="none" w:sz="0" w:space="0" w:color="auto"/>
        <w:bottom w:val="none" w:sz="0" w:space="0" w:color="auto"/>
        <w:right w:val="none" w:sz="0" w:space="0" w:color="auto"/>
      </w:divBdr>
      <w:divsChild>
        <w:div w:id="1695769386">
          <w:marLeft w:val="0"/>
          <w:marRight w:val="0"/>
          <w:marTop w:val="0"/>
          <w:marBottom w:val="0"/>
          <w:divBdr>
            <w:top w:val="none" w:sz="0" w:space="0" w:color="auto"/>
            <w:left w:val="none" w:sz="0" w:space="0" w:color="auto"/>
            <w:bottom w:val="none" w:sz="0" w:space="0" w:color="auto"/>
            <w:right w:val="none" w:sz="0" w:space="0" w:color="auto"/>
          </w:divBdr>
          <w:divsChild>
            <w:div w:id="731733241">
              <w:marLeft w:val="0"/>
              <w:marRight w:val="0"/>
              <w:marTop w:val="0"/>
              <w:marBottom w:val="0"/>
              <w:divBdr>
                <w:top w:val="none" w:sz="0" w:space="0" w:color="auto"/>
                <w:left w:val="none" w:sz="0" w:space="0" w:color="auto"/>
                <w:bottom w:val="none" w:sz="0" w:space="0" w:color="auto"/>
                <w:right w:val="none" w:sz="0" w:space="0" w:color="auto"/>
              </w:divBdr>
              <w:divsChild>
                <w:div w:id="325286651">
                  <w:marLeft w:val="0"/>
                  <w:marRight w:val="0"/>
                  <w:marTop w:val="0"/>
                  <w:marBottom w:val="0"/>
                  <w:divBdr>
                    <w:top w:val="none" w:sz="0" w:space="0" w:color="auto"/>
                    <w:left w:val="none" w:sz="0" w:space="0" w:color="auto"/>
                    <w:bottom w:val="none" w:sz="0" w:space="0" w:color="auto"/>
                    <w:right w:val="none" w:sz="0" w:space="0" w:color="auto"/>
                  </w:divBdr>
                  <w:divsChild>
                    <w:div w:id="7272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84436">
      <w:bodyDiv w:val="1"/>
      <w:marLeft w:val="0"/>
      <w:marRight w:val="0"/>
      <w:marTop w:val="0"/>
      <w:marBottom w:val="0"/>
      <w:divBdr>
        <w:top w:val="none" w:sz="0" w:space="0" w:color="auto"/>
        <w:left w:val="none" w:sz="0" w:space="0" w:color="auto"/>
        <w:bottom w:val="none" w:sz="0" w:space="0" w:color="auto"/>
        <w:right w:val="none" w:sz="0" w:space="0" w:color="auto"/>
      </w:divBdr>
    </w:div>
    <w:div w:id="2041347714">
      <w:bodyDiv w:val="1"/>
      <w:marLeft w:val="0"/>
      <w:marRight w:val="0"/>
      <w:marTop w:val="0"/>
      <w:marBottom w:val="0"/>
      <w:divBdr>
        <w:top w:val="none" w:sz="0" w:space="0" w:color="auto"/>
        <w:left w:val="none" w:sz="0" w:space="0" w:color="auto"/>
        <w:bottom w:val="none" w:sz="0" w:space="0" w:color="auto"/>
        <w:right w:val="none" w:sz="0" w:space="0" w:color="auto"/>
      </w:divBdr>
      <w:divsChild>
        <w:div w:id="1622494640">
          <w:marLeft w:val="0"/>
          <w:marRight w:val="0"/>
          <w:marTop w:val="0"/>
          <w:marBottom w:val="0"/>
          <w:divBdr>
            <w:top w:val="none" w:sz="0" w:space="0" w:color="auto"/>
            <w:left w:val="none" w:sz="0" w:space="0" w:color="auto"/>
            <w:bottom w:val="none" w:sz="0" w:space="0" w:color="auto"/>
            <w:right w:val="none" w:sz="0" w:space="0" w:color="auto"/>
          </w:divBdr>
          <w:divsChild>
            <w:div w:id="686756250">
              <w:marLeft w:val="0"/>
              <w:marRight w:val="0"/>
              <w:marTop w:val="0"/>
              <w:marBottom w:val="0"/>
              <w:divBdr>
                <w:top w:val="none" w:sz="0" w:space="0" w:color="auto"/>
                <w:left w:val="none" w:sz="0" w:space="0" w:color="auto"/>
                <w:bottom w:val="none" w:sz="0" w:space="0" w:color="auto"/>
                <w:right w:val="none" w:sz="0" w:space="0" w:color="auto"/>
              </w:divBdr>
              <w:divsChild>
                <w:div w:id="835804688">
                  <w:marLeft w:val="0"/>
                  <w:marRight w:val="0"/>
                  <w:marTop w:val="0"/>
                  <w:marBottom w:val="0"/>
                  <w:divBdr>
                    <w:top w:val="none" w:sz="0" w:space="0" w:color="auto"/>
                    <w:left w:val="none" w:sz="0" w:space="0" w:color="auto"/>
                    <w:bottom w:val="none" w:sz="0" w:space="0" w:color="auto"/>
                    <w:right w:val="none" w:sz="0" w:space="0" w:color="auto"/>
                  </w:divBdr>
                  <w:divsChild>
                    <w:div w:id="10773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94838">
      <w:bodyDiv w:val="1"/>
      <w:marLeft w:val="0"/>
      <w:marRight w:val="0"/>
      <w:marTop w:val="0"/>
      <w:marBottom w:val="0"/>
      <w:divBdr>
        <w:top w:val="none" w:sz="0" w:space="0" w:color="auto"/>
        <w:left w:val="none" w:sz="0" w:space="0" w:color="auto"/>
        <w:bottom w:val="none" w:sz="0" w:space="0" w:color="auto"/>
        <w:right w:val="none" w:sz="0" w:space="0" w:color="auto"/>
      </w:divBdr>
      <w:divsChild>
        <w:div w:id="1922786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eutert@iu.edu" TargetMode="External"/><Relationship Id="rId13" Type="http://schemas.openxmlformats.org/officeDocument/2006/relationships/footer" Target="footer4.xml"/><Relationship Id="rId18" Type="http://schemas.openxmlformats.org/officeDocument/2006/relationships/image" Target="media/image4.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tif"/><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2.svg"/><Relationship Id="rId20" Type="http://schemas.openxmlformats.org/officeDocument/2006/relationships/image" Target="media/image6.png"/><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vortherms@uci.edu" TargetMode="External"/><Relationship Id="rId14" Type="http://schemas.openxmlformats.org/officeDocument/2006/relationships/footer" Target="footer5.xml"/><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A4590-408C-9C46-BDDB-F48B4392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13613</Words>
  <Characters>77597</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Leutert, Wendy</dc:creator>
  <cp:keywords/>
  <dc:description/>
  <cp:lastModifiedBy>Leutert, Wendy</cp:lastModifiedBy>
  <cp:revision>3</cp:revision>
  <cp:lastPrinted>2020-11-30T17:10:00Z</cp:lastPrinted>
  <dcterms:created xsi:type="dcterms:W3CDTF">2021-06-07T21:04:00Z</dcterms:created>
  <dcterms:modified xsi:type="dcterms:W3CDTF">2021-06-07T21:07:00Z</dcterms:modified>
</cp:coreProperties>
</file>